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FA" w:rsidRDefault="00DE3462" w:rsidP="00DE3462">
      <w:pPr>
        <w:jc w:val="center"/>
        <w:rPr>
          <w:rFonts w:hint="eastAsia"/>
          <w:b/>
          <w:sz w:val="28"/>
          <w:szCs w:val="28"/>
        </w:rPr>
      </w:pPr>
      <w:r w:rsidRPr="00BE4F1E">
        <w:rPr>
          <w:rFonts w:hint="eastAsia"/>
          <w:b/>
          <w:sz w:val="28"/>
          <w:szCs w:val="28"/>
        </w:rPr>
        <w:t>东道国公共利益和投资者保护</w:t>
      </w:r>
      <w:r w:rsidRPr="00BE4F1E">
        <w:rPr>
          <w:b/>
          <w:sz w:val="28"/>
          <w:szCs w:val="28"/>
        </w:rPr>
        <w:t>—</w:t>
      </w:r>
      <w:r w:rsidRPr="00BE4F1E">
        <w:rPr>
          <w:rFonts w:hint="eastAsia"/>
          <w:b/>
          <w:sz w:val="28"/>
          <w:szCs w:val="28"/>
        </w:rPr>
        <w:t>国际投资协定例外条款研究</w:t>
      </w:r>
    </w:p>
    <w:p w:rsidR="001A1522" w:rsidRPr="00BE4F1E" w:rsidRDefault="001A1522" w:rsidP="00DE3462">
      <w:pPr>
        <w:jc w:val="center"/>
        <w:rPr>
          <w:b/>
          <w:sz w:val="28"/>
          <w:szCs w:val="28"/>
        </w:rPr>
      </w:pPr>
      <w:bookmarkStart w:id="0" w:name="_GoBack"/>
      <w:bookmarkEnd w:id="0"/>
      <w:r>
        <w:rPr>
          <w:rFonts w:hint="eastAsia"/>
          <w:b/>
          <w:sz w:val="28"/>
          <w:szCs w:val="28"/>
        </w:rPr>
        <w:t xml:space="preserve">  </w:t>
      </w:r>
    </w:p>
    <w:p w:rsidR="0079418D" w:rsidRDefault="0079418D" w:rsidP="0079418D">
      <w:pPr>
        <w:spacing w:line="288" w:lineRule="auto"/>
        <w:rPr>
          <w:rFonts w:ascii="宋体" w:hAnsi="宋体" w:cs="宋体"/>
        </w:rPr>
      </w:pPr>
    </w:p>
    <w:p w:rsidR="0079418D" w:rsidRDefault="0079418D" w:rsidP="0079418D">
      <w:pPr>
        <w:spacing w:line="288" w:lineRule="auto"/>
        <w:rPr>
          <w:rFonts w:ascii="宋体" w:hAnsi="宋体" w:cs="宋体"/>
        </w:rPr>
      </w:pPr>
      <w:r>
        <w:rPr>
          <w:rFonts w:ascii="宋体" w:hAnsi="宋体" w:cs="宋体" w:hint="eastAsia"/>
        </w:rPr>
        <w:t>【摘要】</w:t>
      </w:r>
    </w:p>
    <w:p w:rsidR="00DE3462" w:rsidRDefault="00DE3462" w:rsidP="00BE4F1E">
      <w:pPr>
        <w:spacing w:line="300" w:lineRule="exact"/>
        <w:ind w:firstLineChars="200" w:firstLine="480"/>
        <w:rPr>
          <w:rFonts w:ascii="宋体" w:hAnsi="宋体" w:cs="宋体"/>
        </w:rPr>
      </w:pPr>
      <w:r>
        <w:rPr>
          <w:rFonts w:ascii="宋体" w:hAnsi="宋体" w:cs="宋体" w:hint="eastAsia"/>
        </w:rPr>
        <w:t>在国际投资实践中</w:t>
      </w:r>
      <w:r w:rsidR="006777FA">
        <w:rPr>
          <w:rFonts w:ascii="宋体" w:hAnsi="宋体" w:cs="宋体" w:hint="eastAsia"/>
        </w:rPr>
        <w:t>，如何</w:t>
      </w:r>
      <w:r>
        <w:rPr>
          <w:rFonts w:ascii="宋体" w:hAnsi="宋体" w:cs="宋体" w:hint="eastAsia"/>
        </w:rPr>
        <w:t>平衡并</w:t>
      </w:r>
      <w:r w:rsidR="006777FA">
        <w:rPr>
          <w:rFonts w:ascii="宋体" w:hAnsi="宋体" w:cs="宋体" w:hint="eastAsia"/>
        </w:rPr>
        <w:t>处理好</w:t>
      </w:r>
      <w:r>
        <w:rPr>
          <w:rFonts w:ascii="宋体" w:hAnsi="宋体" w:cs="宋体" w:hint="eastAsia"/>
        </w:rPr>
        <w:t>东道国管理</w:t>
      </w:r>
      <w:r w:rsidR="006777FA">
        <w:rPr>
          <w:rFonts w:ascii="宋体" w:hAnsi="宋体" w:cs="宋体" w:hint="eastAsia"/>
        </w:rPr>
        <w:t>本国内部事务的权力</w:t>
      </w:r>
      <w:r>
        <w:rPr>
          <w:rFonts w:ascii="宋体" w:hAnsi="宋体" w:cs="宋体" w:hint="eastAsia"/>
        </w:rPr>
        <w:t>与投资者利益保护</w:t>
      </w:r>
      <w:r w:rsidR="006777FA">
        <w:rPr>
          <w:rFonts w:ascii="宋体" w:hAnsi="宋体" w:cs="宋体" w:hint="eastAsia"/>
        </w:rPr>
        <w:t>之间的关系问题越来越受到广泛的重视。</w:t>
      </w:r>
    </w:p>
    <w:p w:rsidR="00DE3462" w:rsidRDefault="00DE3462" w:rsidP="00BE4F1E">
      <w:pPr>
        <w:spacing w:line="300" w:lineRule="exact"/>
        <w:ind w:firstLineChars="200" w:firstLine="480"/>
        <w:rPr>
          <w:rFonts w:ascii="宋体" w:hAnsi="宋体" w:cs="宋体"/>
        </w:rPr>
      </w:pPr>
      <w:r>
        <w:rPr>
          <w:rFonts w:hint="eastAsia"/>
        </w:rPr>
        <w:t>2009</w:t>
      </w:r>
      <w:r>
        <w:rPr>
          <w:rFonts w:hint="eastAsia"/>
        </w:rPr>
        <w:t>年</w:t>
      </w:r>
      <w:r w:rsidR="00BE4F1E">
        <w:rPr>
          <w:rFonts w:hint="eastAsia"/>
        </w:rPr>
        <w:t>一位</w:t>
      </w:r>
      <w:r>
        <w:rPr>
          <w:rFonts w:hint="eastAsia"/>
        </w:rPr>
        <w:t>哈佛大学教授</w:t>
      </w:r>
      <w:r>
        <w:rPr>
          <w:rFonts w:hint="eastAsia"/>
        </w:rPr>
        <w:t xml:space="preserve">John Gerald </w:t>
      </w:r>
      <w:proofErr w:type="spellStart"/>
      <w:r>
        <w:rPr>
          <w:rFonts w:hint="eastAsia"/>
        </w:rPr>
        <w:t>Ruggie</w:t>
      </w:r>
      <w:proofErr w:type="spellEnd"/>
      <w:r>
        <w:rPr>
          <w:rFonts w:hint="eastAsia"/>
        </w:rPr>
        <w:t>在给联合国人权事务委员会的报告中表达了对该问题的关切：</w:t>
      </w:r>
      <w:r>
        <w:rPr>
          <w:rFonts w:ascii="宋体" w:hAnsi="宋体" w:cs="宋体"/>
        </w:rPr>
        <w:t>“</w:t>
      </w:r>
      <w:r>
        <w:rPr>
          <w:rFonts w:hint="eastAsia"/>
        </w:rPr>
        <w:t>近些年投资实践表明，某些投资条约和投资合同条款可能会不适当的束缚东道国</w:t>
      </w:r>
      <w:r w:rsidR="00BE4F1E">
        <w:rPr>
          <w:rFonts w:hint="eastAsia"/>
        </w:rPr>
        <w:t>追求一些合法的政策目的</w:t>
      </w:r>
      <w:r>
        <w:rPr>
          <w:rFonts w:hint="eastAsia"/>
        </w:rPr>
        <w:t>，包括其承担的国际人权保护义务，这是因为基于国际仲裁的存在和约束，外国投资者可以使其投资免受东道国新的法律法规的影响，或者对为遵守这些新的法律法规所受到的损害向东道国政府寻求赔偿。</w:t>
      </w:r>
      <w:r>
        <w:rPr>
          <w:rFonts w:ascii="宋体" w:hAnsi="宋体" w:cs="宋体"/>
        </w:rPr>
        <w:t>”</w:t>
      </w:r>
      <w:r>
        <w:rPr>
          <w:rStyle w:val="a7"/>
          <w:rFonts w:ascii="宋体" w:hAnsi="宋体" w:cs="宋体"/>
        </w:rPr>
        <w:footnoteReference w:id="1"/>
      </w:r>
    </w:p>
    <w:p w:rsidR="00DE3462" w:rsidRDefault="00DE3462" w:rsidP="00BE4F1E">
      <w:pPr>
        <w:spacing w:line="300" w:lineRule="exact"/>
        <w:ind w:firstLineChars="200" w:firstLine="480"/>
      </w:pPr>
      <w:r>
        <w:t>同年，单文华教授在其著作《</w:t>
      </w:r>
      <w:r>
        <w:t>Chinese Investment Treaties: Policies and Practice</w:t>
      </w:r>
      <w:r>
        <w:t>》</w:t>
      </w:r>
      <w:r>
        <w:t>(2009)</w:t>
      </w:r>
      <w:r>
        <w:rPr>
          <w:rFonts w:hint="eastAsia"/>
        </w:rPr>
        <w:t>一书中也表达了国际投资协定对投资者保护与东道国管理权利之间不平衡问题的担忧：“和国际贸易协定相比，国际投资协定对一个主权国家的经济、社会及政治会产生更加深远的影响，但是，在传统的国际投资协定中，似乎更多的是规定东道国应承担的保护投资的义务，而缺乏对东道国主权国家合法权益的保护规定，条约在东道国和投资者之间的利益选择上似乎更加倾向于保护外国投资，而不考虑东道国对其国内经济、社会、环境、公共安全等进行管理的权力，尤其是和贸易协定相比，双边投资条约里其他实体性条款的发展相对健全，而例外条款的发展却严重滞后，因此有必要重视在国际投资协定中例外条款的引入及其发挥的作用。”</w:t>
      </w:r>
      <w:r>
        <w:rPr>
          <w:rStyle w:val="a7"/>
        </w:rPr>
        <w:footnoteReference w:id="2"/>
      </w:r>
    </w:p>
    <w:p w:rsidR="00DE3462" w:rsidRDefault="00DE3462" w:rsidP="00BE4F1E">
      <w:pPr>
        <w:spacing w:line="300" w:lineRule="exact"/>
        <w:ind w:firstLineChars="200" w:firstLine="480"/>
      </w:pPr>
      <w:r>
        <w:rPr>
          <w:rFonts w:hint="eastAsia"/>
        </w:rPr>
        <w:t>2010</w:t>
      </w:r>
      <w:r>
        <w:rPr>
          <w:rFonts w:hint="eastAsia"/>
        </w:rPr>
        <w:t>年，一批国际法学者共同发布了一份公开声明：</w:t>
      </w:r>
      <w:r>
        <w:t>“</w:t>
      </w:r>
      <w:r>
        <w:rPr>
          <w:rFonts w:hint="eastAsia"/>
        </w:rPr>
        <w:t>Public Statement on the International Investment Regime</w:t>
      </w:r>
      <w:r>
        <w:t>”</w:t>
      </w:r>
      <w:r w:rsidR="00A82A47">
        <w:rPr>
          <w:rFonts w:hint="eastAsia"/>
        </w:rPr>
        <w:t>中，其前言部分也</w:t>
      </w:r>
      <w:r>
        <w:rPr>
          <w:rFonts w:hint="eastAsia"/>
        </w:rPr>
        <w:t>进一步的阐述了对该问题的关注：“国际投资领域中发生的对东道国公共利益的损害问题，是我们普遍担心的一个问题，</w:t>
      </w:r>
      <w:r>
        <w:rPr>
          <w:rFonts w:hint="eastAsia"/>
        </w:rPr>
        <w:t xml:space="preserve"> </w:t>
      </w:r>
      <w:r>
        <w:rPr>
          <w:rFonts w:hint="eastAsia"/>
        </w:rPr>
        <w:t>尤其是它对东道国政府为了其本国的人权发展和环境的可持续发展而作出努力的政府管理权利的损害，是我们尤其关注的。”</w:t>
      </w:r>
      <w:r>
        <w:rPr>
          <w:rStyle w:val="a7"/>
          <w:rFonts w:hint="eastAsia"/>
        </w:rPr>
        <w:footnoteReference w:id="3"/>
      </w:r>
    </w:p>
    <w:p w:rsidR="00DE3462" w:rsidRPr="00DE3462" w:rsidRDefault="00DE3462" w:rsidP="00BE4F1E">
      <w:pPr>
        <w:spacing w:line="300" w:lineRule="exact"/>
        <w:ind w:firstLineChars="200" w:firstLine="480"/>
      </w:pPr>
      <w:r>
        <w:rPr>
          <w:rFonts w:hint="eastAsia"/>
        </w:rPr>
        <w:lastRenderedPageBreak/>
        <w:t>2012</w:t>
      </w:r>
      <w:r>
        <w:rPr>
          <w:rFonts w:hint="eastAsia"/>
        </w:rPr>
        <w:t>年，英联邦秘书处发布了一份名为</w:t>
      </w:r>
      <w:r>
        <w:rPr>
          <w:rFonts w:hint="eastAsia"/>
        </w:rPr>
        <w:t xml:space="preserve"> </w:t>
      </w:r>
      <w:r>
        <w:t>“</w:t>
      </w:r>
      <w:r>
        <w:rPr>
          <w:rFonts w:hint="eastAsia"/>
        </w:rPr>
        <w:t>Integrating Sustainable Development into International Investment Agreements: A Guide for Developing Country Negotiators</w:t>
      </w:r>
      <w:r>
        <w:t>”</w:t>
      </w:r>
      <w:r>
        <w:rPr>
          <w:rFonts w:hint="eastAsia"/>
        </w:rPr>
        <w:t xml:space="preserve"> </w:t>
      </w:r>
      <w:r>
        <w:rPr>
          <w:rFonts w:hint="eastAsia"/>
        </w:rPr>
        <w:t>的指南，该指南的三位作者在其中也表达了他们对现存国际投资协定中东道国保护国内重要的公共政策目标的担忧，包括投资条约可能对国家的发展目标和对环境、人权以及劳工权利的保护能力带来的影响。</w:t>
      </w:r>
      <w:r>
        <w:rPr>
          <w:rStyle w:val="a7"/>
          <w:rFonts w:hint="eastAsia"/>
        </w:rPr>
        <w:footnoteReference w:id="4"/>
      </w:r>
    </w:p>
    <w:p w:rsidR="006777FA" w:rsidRDefault="006777FA" w:rsidP="00BE4F1E">
      <w:pPr>
        <w:spacing w:line="300" w:lineRule="exact"/>
        <w:ind w:firstLineChars="196" w:firstLine="470"/>
        <w:rPr>
          <w:rFonts w:ascii="宋体" w:hAnsi="宋体" w:cs="宋体"/>
        </w:rPr>
      </w:pPr>
      <w:r>
        <w:rPr>
          <w:rFonts w:ascii="宋体" w:hAnsi="宋体" w:cs="宋体" w:hint="eastAsia"/>
        </w:rPr>
        <w:t>任何一项投资，东道国都有权利并有义务进行必要的管理，这种管理权力来自于国家主权，而管理义务则来自于一系列国内法及国际法的规定，其中国际法部分则包含了关于环境、贸易、人权、人类健康等国际协定。</w:t>
      </w:r>
      <w:r>
        <w:rPr>
          <w:rStyle w:val="a7"/>
          <w:rFonts w:ascii="宋体" w:hAnsi="宋体" w:cs="宋体" w:hint="eastAsia"/>
        </w:rPr>
        <w:footnoteReference w:id="5"/>
      </w:r>
    </w:p>
    <w:p w:rsidR="006777FA" w:rsidRDefault="00A82A47" w:rsidP="00BE4F1E">
      <w:pPr>
        <w:spacing w:line="300" w:lineRule="exact"/>
        <w:ind w:firstLineChars="196" w:firstLine="470"/>
        <w:rPr>
          <w:rFonts w:ascii="宋体" w:hAnsi="宋体"/>
        </w:rPr>
      </w:pPr>
      <w:r>
        <w:rPr>
          <w:rFonts w:ascii="宋体" w:hAnsi="宋体" w:hint="eastAsia"/>
        </w:rPr>
        <w:t>而在国际投资领域的具体情况是，东道国</w:t>
      </w:r>
      <w:r w:rsidR="006777FA">
        <w:rPr>
          <w:rFonts w:ascii="宋体" w:hAnsi="宋体" w:hint="eastAsia"/>
        </w:rPr>
        <w:t>出于保护国家安全和公共利益，需要对其领土内的外国投资实施管制，这些管制措施不可避免的会影响到外国投资者的利益，而一旦如此，投资者就会</w:t>
      </w:r>
      <w:r>
        <w:rPr>
          <w:rFonts w:ascii="宋体" w:hAnsi="宋体" w:hint="eastAsia"/>
        </w:rPr>
        <w:t>以东道国的</w:t>
      </w:r>
      <w:r w:rsidR="006777FA">
        <w:rPr>
          <w:rFonts w:ascii="宋体" w:hAnsi="宋体" w:hint="eastAsia"/>
        </w:rPr>
        <w:t>管制措施构成间接征收，或者违反相关的投资待遇为由诉诸仲裁庭，从而使东道国一项正常的管制措施陷入被诉的局面</w:t>
      </w:r>
      <w:r>
        <w:rPr>
          <w:rFonts w:ascii="宋体" w:hAnsi="宋体" w:hint="eastAsia"/>
        </w:rPr>
        <w:t>，这就对东道国管理本国</w:t>
      </w:r>
      <w:r w:rsidR="006777FA">
        <w:rPr>
          <w:rFonts w:ascii="宋体" w:hAnsi="宋体" w:hint="eastAsia"/>
        </w:rPr>
        <w:t>事务的权力提出挑战。</w:t>
      </w:r>
    </w:p>
    <w:p w:rsidR="006777FA" w:rsidRPr="00BE4F1E" w:rsidRDefault="006777FA" w:rsidP="0079418D">
      <w:pPr>
        <w:spacing w:line="300" w:lineRule="exact"/>
        <w:ind w:firstLineChars="200" w:firstLine="480"/>
      </w:pPr>
      <w:r>
        <w:rPr>
          <w:rFonts w:ascii="宋体" w:hAnsi="宋体" w:hint="eastAsia"/>
        </w:rPr>
        <w:t>尤其是在近20年间，双边投资条约的数量及东道国-</w:t>
      </w:r>
      <w:r w:rsidR="0059564D">
        <w:rPr>
          <w:rFonts w:ascii="宋体" w:hAnsi="宋体" w:hint="eastAsia"/>
        </w:rPr>
        <w:t>投资者争端数量的激增都凸显了东道国对外国投资者义务与对本国安全和</w:t>
      </w:r>
      <w:r>
        <w:rPr>
          <w:rFonts w:ascii="宋体" w:hAnsi="宋体" w:hint="eastAsia"/>
        </w:rPr>
        <w:t>公共利益保护义务之间的紧张关系。投</w:t>
      </w:r>
      <w:r w:rsidR="0059564D">
        <w:rPr>
          <w:rFonts w:ascii="宋体" w:hAnsi="宋体" w:hint="eastAsia"/>
        </w:rPr>
        <w:t>资者挑战东道国对公共利益保护的案件</w:t>
      </w:r>
      <w:r>
        <w:rPr>
          <w:rFonts w:ascii="宋体" w:hAnsi="宋体" w:hint="eastAsia"/>
        </w:rPr>
        <w:t>时有发生，例如在NAFTA下以及ICSID发生的国际投资仲裁案件中，众多案件都广泛涉及东道国在</w:t>
      </w:r>
      <w:r w:rsidR="00DE3462">
        <w:rPr>
          <w:rFonts w:ascii="宋体" w:hAnsi="宋体" w:hint="eastAsia"/>
        </w:rPr>
        <w:t>国家安全、</w:t>
      </w:r>
      <w:r>
        <w:rPr>
          <w:rFonts w:ascii="宋体" w:hAnsi="宋体" w:hint="eastAsia"/>
        </w:rPr>
        <w:t>自然资源开发、环境保护、</w:t>
      </w:r>
      <w:r w:rsidR="00DE3462">
        <w:rPr>
          <w:rFonts w:ascii="宋体" w:hAnsi="宋体" w:hint="eastAsia"/>
        </w:rPr>
        <w:t>文化遗产保护、</w:t>
      </w:r>
      <w:r>
        <w:rPr>
          <w:rFonts w:ascii="宋体" w:hAnsi="宋体" w:hint="eastAsia"/>
        </w:rPr>
        <w:t>人权保护及公共卫生健康等领域的公共利益。</w:t>
      </w:r>
      <w:r>
        <w:rPr>
          <w:rStyle w:val="a7"/>
          <w:rFonts w:ascii="宋体" w:hAnsi="宋体" w:hint="eastAsia"/>
        </w:rPr>
        <w:footnoteReference w:id="6"/>
      </w:r>
      <w:r>
        <w:rPr>
          <w:rFonts w:ascii="宋体" w:hAnsi="宋体" w:hint="eastAsia"/>
        </w:rPr>
        <w:t>而仲裁庭如何判决一项正常的管制措施是否违反双方的投资条约规定，以及采取何种解释方法，具有极大的不确定性。</w:t>
      </w:r>
      <w:r w:rsidR="0059564D">
        <w:rPr>
          <w:rFonts w:ascii="宋体" w:hAnsi="宋体" w:hint="eastAsia"/>
        </w:rPr>
        <w:t>在仲裁庭的裁决实践中，</w:t>
      </w:r>
      <w:r>
        <w:rPr>
          <w:rFonts w:ascii="宋体" w:hAnsi="宋体" w:hint="eastAsia"/>
        </w:rPr>
        <w:t>似乎</w:t>
      </w:r>
      <w:r w:rsidR="0059564D">
        <w:rPr>
          <w:rFonts w:ascii="宋体" w:hAnsi="宋体" w:hint="eastAsia"/>
        </w:rPr>
        <w:t>也是</w:t>
      </w:r>
      <w:r>
        <w:rPr>
          <w:rFonts w:ascii="宋体" w:hAnsi="宋体" w:hint="eastAsia"/>
        </w:rPr>
        <w:t>更倾向于对外国投资者利益的保护</w:t>
      </w:r>
      <w:r w:rsidR="00A82A47">
        <w:rPr>
          <w:rFonts w:ascii="宋体" w:hAnsi="宋体" w:hint="eastAsia"/>
        </w:rPr>
        <w:t>，</w:t>
      </w:r>
      <w:r>
        <w:rPr>
          <w:rFonts w:ascii="宋体" w:hAnsi="宋体" w:hint="eastAsia"/>
        </w:rPr>
        <w:t>其结果是对东道国的管制权力及能力造成极大的</w:t>
      </w:r>
      <w:r w:rsidR="0059564D">
        <w:rPr>
          <w:rFonts w:ascii="宋体" w:hAnsi="宋体" w:hint="eastAsia"/>
        </w:rPr>
        <w:t>侵蚀</w:t>
      </w:r>
      <w:r>
        <w:rPr>
          <w:rFonts w:ascii="宋体" w:hAnsi="宋体" w:hint="eastAsia"/>
        </w:rPr>
        <w:t>。</w:t>
      </w:r>
      <w:r w:rsidR="00DE3462">
        <w:rPr>
          <w:rFonts w:hint="eastAsia"/>
        </w:rPr>
        <w:t>另外，</w:t>
      </w:r>
      <w:r w:rsidR="00A82A47">
        <w:rPr>
          <w:rFonts w:hint="eastAsia"/>
        </w:rPr>
        <w:t>仲裁裁决中，判令</w:t>
      </w:r>
      <w:r w:rsidR="00DE3462">
        <w:rPr>
          <w:rFonts w:hint="eastAsia"/>
        </w:rPr>
        <w:t>东道国赔偿投资者的经济数额也在不断增长，有些案件的单独赔偿数额竟高达</w:t>
      </w:r>
      <w:r w:rsidR="00DE3462">
        <w:rPr>
          <w:rFonts w:hint="eastAsia"/>
        </w:rPr>
        <w:t>1</w:t>
      </w:r>
      <w:r w:rsidR="00DE3462">
        <w:rPr>
          <w:rFonts w:hint="eastAsia"/>
        </w:rPr>
        <w:t>亿美元以上，相信这对任何一个国家政府财政来说都是一笔不容小觑的数目。</w:t>
      </w:r>
      <w:r w:rsidR="00A82A47">
        <w:rPr>
          <w:rFonts w:hint="eastAsia"/>
        </w:rPr>
        <w:t>例如在</w:t>
      </w:r>
      <w:r w:rsidR="00A82A47" w:rsidRPr="00A82A47">
        <w:rPr>
          <w:rFonts w:hint="eastAsia"/>
          <w:i/>
        </w:rPr>
        <w:t>Occidental v. Ecuador</w:t>
      </w:r>
      <w:r w:rsidR="0079418D">
        <w:rPr>
          <w:rFonts w:hint="eastAsia"/>
          <w:i/>
        </w:rPr>
        <w:t xml:space="preserve"> </w:t>
      </w:r>
      <w:r w:rsidR="00A82A47" w:rsidRPr="00A82A47">
        <w:rPr>
          <w:rFonts w:hint="eastAsia"/>
        </w:rPr>
        <w:t>(2012</w:t>
      </w:r>
      <w:r w:rsidR="00A82A47" w:rsidRPr="00A82A47">
        <w:rPr>
          <w:rFonts w:hint="eastAsia"/>
        </w:rPr>
        <w:t>年</w:t>
      </w:r>
      <w:r w:rsidR="00A82A47" w:rsidRPr="00A82A47">
        <w:rPr>
          <w:rFonts w:hint="eastAsia"/>
        </w:rPr>
        <w:t>10</w:t>
      </w:r>
      <w:r w:rsidR="00A82A47" w:rsidRPr="00A82A47">
        <w:rPr>
          <w:rFonts w:hint="eastAsia"/>
        </w:rPr>
        <w:t>月</w:t>
      </w:r>
      <w:proofErr w:type="gramStart"/>
      <w:r w:rsidR="00A82A47" w:rsidRPr="00A82A47">
        <w:rPr>
          <w:rFonts w:hint="eastAsia"/>
        </w:rPr>
        <w:t>)</w:t>
      </w:r>
      <w:r w:rsidR="00A82A47">
        <w:rPr>
          <w:rFonts w:hint="eastAsia"/>
        </w:rPr>
        <w:t>的案件中</w:t>
      </w:r>
      <w:proofErr w:type="gramEnd"/>
      <w:r w:rsidR="00A82A47">
        <w:rPr>
          <w:rFonts w:hint="eastAsia"/>
        </w:rPr>
        <w:t>，</w:t>
      </w:r>
      <w:r w:rsidR="0079418D">
        <w:rPr>
          <w:rFonts w:hint="eastAsia"/>
        </w:rPr>
        <w:t>仲裁庭判令厄瓜多尔政府赔偿投资者的数额竟然高达</w:t>
      </w:r>
      <w:r w:rsidR="0079418D">
        <w:rPr>
          <w:rFonts w:hint="eastAsia"/>
        </w:rPr>
        <w:t>23</w:t>
      </w:r>
      <w:r w:rsidR="0079418D">
        <w:rPr>
          <w:rFonts w:hint="eastAsia"/>
        </w:rPr>
        <w:t>亿美元，这是迄今为止赔偿数额最高的案件。</w:t>
      </w:r>
      <w:r w:rsidR="00A82A47" w:rsidRPr="00A82A47">
        <w:rPr>
          <w:vertAlign w:val="superscript"/>
        </w:rPr>
        <w:footnoteReference w:id="7"/>
      </w:r>
    </w:p>
    <w:p w:rsidR="00DE3462" w:rsidRDefault="006777FA" w:rsidP="00BE4F1E">
      <w:pPr>
        <w:spacing w:line="300" w:lineRule="exact"/>
        <w:ind w:firstLineChars="196" w:firstLine="470"/>
      </w:pPr>
      <w:r>
        <w:rPr>
          <w:rFonts w:ascii="宋体" w:hAnsi="宋体" w:hint="eastAsia"/>
        </w:rPr>
        <w:t>正是因为国际社会深刻的认识到投资自由化不应以牺牲东道国国内安全及公共</w:t>
      </w:r>
      <w:r>
        <w:rPr>
          <w:rFonts w:ascii="宋体" w:hAnsi="宋体" w:hint="eastAsia"/>
        </w:rPr>
        <w:lastRenderedPageBreak/>
        <w:t>利益为代价，以及投资仲裁实践所引发的</w:t>
      </w:r>
      <w:r w:rsidR="0059564D">
        <w:rPr>
          <w:rFonts w:ascii="宋体" w:hAnsi="宋体" w:hint="eastAsia"/>
        </w:rPr>
        <w:t>东道国“监管寒流”问题</w:t>
      </w:r>
      <w:r>
        <w:rPr>
          <w:rFonts w:ascii="宋体" w:hAnsi="宋体" w:hint="eastAsia"/>
        </w:rPr>
        <w:t>，才不得不迫使一些国家面对这种束缚东道国监管权力的国际投资法制</w:t>
      </w:r>
      <w:proofErr w:type="gramStart"/>
      <w:r>
        <w:rPr>
          <w:rFonts w:ascii="宋体" w:hAnsi="宋体" w:hint="eastAsia"/>
        </w:rPr>
        <w:t>作出</w:t>
      </w:r>
      <w:proofErr w:type="gramEnd"/>
      <w:r>
        <w:rPr>
          <w:rFonts w:ascii="宋体" w:hAnsi="宋体" w:hint="eastAsia"/>
        </w:rPr>
        <w:t>反应，例如</w:t>
      </w:r>
      <w:r>
        <w:rPr>
          <w:rFonts w:hint="eastAsia"/>
        </w:rPr>
        <w:t>澳大利亚则在澳美</w:t>
      </w:r>
      <w:r>
        <w:rPr>
          <w:rFonts w:hint="eastAsia"/>
        </w:rPr>
        <w:t>FTA</w:t>
      </w:r>
      <w:r>
        <w:rPr>
          <w:rFonts w:hint="eastAsia"/>
        </w:rPr>
        <w:t>的投资章节中直</w:t>
      </w:r>
      <w:proofErr w:type="gramStart"/>
      <w:r>
        <w:rPr>
          <w:rFonts w:hint="eastAsia"/>
        </w:rPr>
        <w:t>接拒绝</w:t>
      </w:r>
      <w:proofErr w:type="gramEnd"/>
      <w:r>
        <w:rPr>
          <w:rFonts w:hint="eastAsia"/>
        </w:rPr>
        <w:t>接受投资案件仲裁来确保国家监管主权自由。</w:t>
      </w:r>
      <w:r>
        <w:rPr>
          <w:rStyle w:val="a7"/>
        </w:rPr>
        <w:footnoteReference w:id="8"/>
      </w:r>
      <w:r>
        <w:rPr>
          <w:rFonts w:hint="eastAsia"/>
        </w:rPr>
        <w:t>更有甚者，一些拉美国家通过谴责、重新谈判或拒绝签订国际投资条约以及限制</w:t>
      </w:r>
      <w:r>
        <w:rPr>
          <w:rFonts w:hint="eastAsia"/>
        </w:rPr>
        <w:t>ICSID</w:t>
      </w:r>
      <w:r>
        <w:rPr>
          <w:rFonts w:hint="eastAsia"/>
        </w:rPr>
        <w:t>的管辖权，甚至是退出</w:t>
      </w:r>
      <w:r>
        <w:rPr>
          <w:rFonts w:hint="eastAsia"/>
        </w:rPr>
        <w:t>ICSID</w:t>
      </w:r>
      <w:r>
        <w:rPr>
          <w:rFonts w:hint="eastAsia"/>
        </w:rPr>
        <w:t>的方式来实现自己的目的。</w:t>
      </w:r>
    </w:p>
    <w:p w:rsidR="0059564D" w:rsidRDefault="006777FA" w:rsidP="00BE4F1E">
      <w:pPr>
        <w:spacing w:line="300" w:lineRule="exact"/>
        <w:ind w:firstLineChars="196" w:firstLine="470"/>
        <w:rPr>
          <w:rFonts w:ascii="宋体" w:hAnsi="宋体"/>
        </w:rPr>
      </w:pPr>
      <w:r>
        <w:rPr>
          <w:rFonts w:ascii="宋体" w:hAnsi="宋体" w:hint="eastAsia"/>
        </w:rPr>
        <w:t>与此同时，另有一些国家则通过在其双边投资条约中引入例外条款的机制，</w:t>
      </w:r>
      <w:r w:rsidR="00A82A47">
        <w:rPr>
          <w:rFonts w:ascii="宋体" w:hAnsi="宋体" w:hint="eastAsia"/>
        </w:rPr>
        <w:t>以便将自己的公用管理</w:t>
      </w:r>
      <w:r w:rsidR="0059564D">
        <w:rPr>
          <w:rFonts w:ascii="宋体" w:hAnsi="宋体" w:hint="eastAsia"/>
        </w:rPr>
        <w:t>行为明确的排除在条约义务范围外，从而试图达到</w:t>
      </w:r>
      <w:r>
        <w:rPr>
          <w:rFonts w:ascii="宋体" w:hAnsi="宋体" w:hint="eastAsia"/>
        </w:rPr>
        <w:t>确保投资者利益与东道国监管之间的平衡。</w:t>
      </w:r>
    </w:p>
    <w:p w:rsidR="006777FA" w:rsidRPr="00A82A47" w:rsidRDefault="0059564D" w:rsidP="00A82A47">
      <w:pPr>
        <w:spacing w:line="300" w:lineRule="exact"/>
        <w:ind w:firstLineChars="196" w:firstLine="470"/>
        <w:rPr>
          <w:rFonts w:ascii="宋体" w:hAnsi="宋体"/>
        </w:rPr>
      </w:pPr>
      <w:r>
        <w:rPr>
          <w:rFonts w:hint="eastAsia"/>
        </w:rPr>
        <w:t>例如自从</w:t>
      </w:r>
      <w:r>
        <w:rPr>
          <w:rFonts w:hint="eastAsia"/>
        </w:rPr>
        <w:t>2000</w:t>
      </w:r>
      <w:r>
        <w:rPr>
          <w:rFonts w:hint="eastAsia"/>
        </w:rPr>
        <w:t>年开始，越来越多的亚洲国家，如中国、日本、新加坡、东盟等国家和组织在缔结新的国际投资条约时，都开始在条约中加入一般例外条款，这些一般例外条款要么是基于</w:t>
      </w:r>
      <w:r>
        <w:rPr>
          <w:rFonts w:hint="eastAsia"/>
        </w:rPr>
        <w:t>GATT</w:t>
      </w:r>
      <w:r>
        <w:rPr>
          <w:rFonts w:hint="eastAsia"/>
        </w:rPr>
        <w:t>第</w:t>
      </w:r>
      <w:r>
        <w:rPr>
          <w:rFonts w:hint="eastAsia"/>
        </w:rPr>
        <w:t>20</w:t>
      </w:r>
      <w:r>
        <w:rPr>
          <w:rFonts w:hint="eastAsia"/>
        </w:rPr>
        <w:t>条的条约规定，要么是根据</w:t>
      </w:r>
      <w:r>
        <w:rPr>
          <w:rFonts w:hint="eastAsia"/>
        </w:rPr>
        <w:t>GATS</w:t>
      </w:r>
      <w:r>
        <w:rPr>
          <w:rFonts w:hint="eastAsia"/>
        </w:rPr>
        <w:t>第</w:t>
      </w:r>
      <w:r>
        <w:rPr>
          <w:rFonts w:hint="eastAsia"/>
        </w:rPr>
        <w:t>14bis</w:t>
      </w:r>
      <w:r>
        <w:rPr>
          <w:rFonts w:hint="eastAsia"/>
        </w:rPr>
        <w:t>条的规定。</w:t>
      </w:r>
      <w:r>
        <w:rPr>
          <w:rStyle w:val="a7"/>
          <w:rFonts w:hint="eastAsia"/>
        </w:rPr>
        <w:footnoteReference w:id="9"/>
      </w:r>
      <w:r>
        <w:rPr>
          <w:rFonts w:hint="eastAsia"/>
        </w:rPr>
        <w:t xml:space="preserve"> </w:t>
      </w:r>
      <w:r>
        <w:rPr>
          <w:rFonts w:hint="eastAsia"/>
        </w:rPr>
        <w:t>尤其是中国近几年缔结的国际投资条约更能反映出对例外条款的青睐，比如中国</w:t>
      </w:r>
      <w:r>
        <w:rPr>
          <w:rFonts w:hint="eastAsia"/>
        </w:rPr>
        <w:t>-</w:t>
      </w:r>
      <w:r>
        <w:rPr>
          <w:rFonts w:hint="eastAsia"/>
        </w:rPr>
        <w:t>东盟</w:t>
      </w:r>
      <w:r>
        <w:rPr>
          <w:rFonts w:hint="eastAsia"/>
        </w:rPr>
        <w:t>2009</w:t>
      </w:r>
      <w:r>
        <w:rPr>
          <w:rFonts w:hint="eastAsia"/>
        </w:rPr>
        <w:t>年签订的自由贸易协定</w:t>
      </w:r>
      <w:r>
        <w:rPr>
          <w:rFonts w:hint="eastAsia"/>
        </w:rPr>
        <w:t>FTA</w:t>
      </w:r>
      <w:r>
        <w:rPr>
          <w:rFonts w:hint="eastAsia"/>
        </w:rPr>
        <w:t>中的投资章节第</w:t>
      </w:r>
      <w:r>
        <w:rPr>
          <w:rFonts w:hint="eastAsia"/>
        </w:rPr>
        <w:t>16</w:t>
      </w:r>
      <w:r>
        <w:rPr>
          <w:rFonts w:hint="eastAsia"/>
        </w:rPr>
        <w:t>和</w:t>
      </w:r>
      <w:r>
        <w:rPr>
          <w:rFonts w:hint="eastAsia"/>
        </w:rPr>
        <w:t>17</w:t>
      </w:r>
      <w:r>
        <w:rPr>
          <w:rFonts w:hint="eastAsia"/>
        </w:rPr>
        <w:t>条则规定了非常详细的例外条款，接下来在</w:t>
      </w:r>
      <w:r>
        <w:rPr>
          <w:rFonts w:hint="eastAsia"/>
        </w:rPr>
        <w:t>2012</w:t>
      </w:r>
      <w:r>
        <w:rPr>
          <w:rFonts w:hint="eastAsia"/>
        </w:rPr>
        <w:t>年的中国</w:t>
      </w:r>
      <w:r>
        <w:rPr>
          <w:rFonts w:hint="eastAsia"/>
        </w:rPr>
        <w:t>-</w:t>
      </w:r>
      <w:r>
        <w:rPr>
          <w:rFonts w:hint="eastAsia"/>
        </w:rPr>
        <w:t>日本</w:t>
      </w:r>
      <w:r>
        <w:rPr>
          <w:rFonts w:hint="eastAsia"/>
        </w:rPr>
        <w:t>-</w:t>
      </w:r>
      <w:r>
        <w:rPr>
          <w:rFonts w:hint="eastAsia"/>
        </w:rPr>
        <w:t>韩国三边投资协定</w:t>
      </w:r>
      <w:r>
        <w:rPr>
          <w:rFonts w:hint="eastAsia"/>
        </w:rPr>
        <w:t>TIA</w:t>
      </w:r>
      <w:r>
        <w:rPr>
          <w:rFonts w:hint="eastAsia"/>
        </w:rPr>
        <w:t>、</w:t>
      </w:r>
      <w:r>
        <w:rPr>
          <w:rFonts w:hint="eastAsia"/>
        </w:rPr>
        <w:t>2013</w:t>
      </w:r>
      <w:r>
        <w:rPr>
          <w:rFonts w:hint="eastAsia"/>
        </w:rPr>
        <w:t>年中国</w:t>
      </w:r>
      <w:r>
        <w:rPr>
          <w:rFonts w:hint="eastAsia"/>
        </w:rPr>
        <w:t>-</w:t>
      </w:r>
      <w:r>
        <w:rPr>
          <w:rFonts w:hint="eastAsia"/>
        </w:rPr>
        <w:t>冰岛自由贸易协定</w:t>
      </w:r>
      <w:r>
        <w:rPr>
          <w:rFonts w:hint="eastAsia"/>
        </w:rPr>
        <w:t>FTA</w:t>
      </w:r>
      <w:r>
        <w:rPr>
          <w:rFonts w:hint="eastAsia"/>
        </w:rPr>
        <w:t>以及</w:t>
      </w:r>
      <w:r>
        <w:rPr>
          <w:rFonts w:hint="eastAsia"/>
        </w:rPr>
        <w:t>2014</w:t>
      </w:r>
      <w:r>
        <w:rPr>
          <w:rFonts w:hint="eastAsia"/>
        </w:rPr>
        <w:t>年中国</w:t>
      </w:r>
      <w:r>
        <w:rPr>
          <w:rFonts w:hint="eastAsia"/>
        </w:rPr>
        <w:t>-</w:t>
      </w:r>
      <w:r>
        <w:rPr>
          <w:rFonts w:hint="eastAsia"/>
        </w:rPr>
        <w:t>瑞士自由贸易协定</w:t>
      </w:r>
      <w:r>
        <w:rPr>
          <w:rFonts w:hint="eastAsia"/>
        </w:rPr>
        <w:t>FTA</w:t>
      </w:r>
      <w:r>
        <w:rPr>
          <w:rFonts w:hint="eastAsia"/>
        </w:rPr>
        <w:t>等，更是无一例外的纳入了例外条款。</w:t>
      </w:r>
      <w:r>
        <w:rPr>
          <w:rFonts w:ascii="宋体" w:hAnsi="宋体" w:hint="eastAsia"/>
        </w:rPr>
        <w:t>有些国家</w:t>
      </w:r>
      <w:r w:rsidR="006777FA">
        <w:rPr>
          <w:rFonts w:ascii="宋体" w:hAnsi="宋体" w:hint="eastAsia"/>
        </w:rPr>
        <w:t>还</w:t>
      </w:r>
      <w:r w:rsidR="006777FA">
        <w:rPr>
          <w:rFonts w:hint="eastAsia"/>
        </w:rPr>
        <w:t>针对引入例外条款所引发的条约义务范围的争论进行了专门解释，从更细节的层面来明确其承担的义务范围以避免仲裁庭的过度裁判。</w:t>
      </w:r>
      <w:r w:rsidR="006777FA">
        <w:rPr>
          <w:rStyle w:val="a7"/>
        </w:rPr>
        <w:footnoteReference w:id="10"/>
      </w:r>
    </w:p>
    <w:p w:rsidR="006777FA" w:rsidRDefault="0059564D" w:rsidP="00BE4F1E">
      <w:pPr>
        <w:spacing w:line="300" w:lineRule="exact"/>
      </w:pPr>
      <w:r>
        <w:rPr>
          <w:rFonts w:hint="eastAsia"/>
        </w:rPr>
        <w:t xml:space="preserve">        </w:t>
      </w:r>
      <w:r>
        <w:rPr>
          <w:rFonts w:hint="eastAsia"/>
        </w:rPr>
        <w:t>然而问题是，例外条款是否会如同预想的那样对平衡投资者利益和东道国监管权力产生切实有效的作用？在仲裁实践中，它是否能为国家管理本国公共事务带来了理想的权力空间和预期的实际效果？假设，如果例外条款在实践中发挥的作用有限，那么平衡投资者与东道国之间相互利益关系的真正出路在哪里？这是该论文最终需要解决的问题</w:t>
      </w:r>
      <w:r w:rsidR="00DE3462">
        <w:rPr>
          <w:rFonts w:hint="eastAsia"/>
        </w:rPr>
        <w:t>。</w:t>
      </w:r>
    </w:p>
    <w:sectPr w:rsidR="006777F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F6C" w:rsidRDefault="00424F6C" w:rsidP="006777FA">
      <w:r>
        <w:separator/>
      </w:r>
    </w:p>
  </w:endnote>
  <w:endnote w:type="continuationSeparator" w:id="0">
    <w:p w:rsidR="00424F6C" w:rsidRDefault="00424F6C" w:rsidP="0067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F6C" w:rsidRDefault="00424F6C" w:rsidP="006777FA">
      <w:r>
        <w:separator/>
      </w:r>
    </w:p>
  </w:footnote>
  <w:footnote w:type="continuationSeparator" w:id="0">
    <w:p w:rsidR="00424F6C" w:rsidRDefault="00424F6C" w:rsidP="006777FA">
      <w:r>
        <w:continuationSeparator/>
      </w:r>
    </w:p>
  </w:footnote>
  <w:footnote w:id="1">
    <w:p w:rsidR="00DE3462" w:rsidRDefault="00DE3462" w:rsidP="00DE3462">
      <w:pPr>
        <w:pStyle w:val="a8"/>
        <w:spacing w:line="240" w:lineRule="exact"/>
        <w:ind w:left="9" w:hangingChars="5" w:hanging="9"/>
      </w:pPr>
      <w:r>
        <w:rPr>
          <w:rStyle w:val="a7"/>
        </w:rPr>
        <w:footnoteRef/>
      </w:r>
      <w:r>
        <w:t xml:space="preserve"> </w:t>
      </w:r>
      <w:r>
        <w:rPr>
          <w:rFonts w:hint="eastAsia"/>
        </w:rPr>
        <w:t>参见</w:t>
      </w:r>
      <w:r>
        <w:t xml:space="preserve">Report of the SRSG, Business and Human Rights: </w:t>
      </w:r>
      <w:proofErr w:type="gramStart"/>
      <w:r>
        <w:t>Towards Operationalizing the ‘Protect, Respect</w:t>
      </w:r>
      <w:r>
        <w:rPr>
          <w:rFonts w:hint="eastAsia"/>
        </w:rPr>
        <w:t xml:space="preserve"> </w:t>
      </w:r>
      <w:r>
        <w:t>and Remedy’</w:t>
      </w:r>
      <w:r>
        <w:rPr>
          <w:rFonts w:hint="eastAsia"/>
        </w:rPr>
        <w:t xml:space="preserve"> </w:t>
      </w:r>
      <w:r>
        <w:t>Framework,</w:t>
      </w:r>
      <w:r>
        <w:rPr>
          <w:rFonts w:hint="eastAsia"/>
        </w:rPr>
        <w:t xml:space="preserve"> </w:t>
      </w:r>
      <w:r>
        <w:t xml:space="preserve">A/HRC/11/13, </w:t>
      </w:r>
      <w:proofErr w:type="spellStart"/>
      <w:r>
        <w:t>para</w:t>
      </w:r>
      <w:proofErr w:type="spellEnd"/>
      <w:r>
        <w:t xml:space="preserve"> 30 (2009)</w:t>
      </w:r>
      <w:r>
        <w:rPr>
          <w:rFonts w:hint="eastAsia"/>
        </w:rPr>
        <w:t>.</w:t>
      </w:r>
      <w:proofErr w:type="gramEnd"/>
      <w:r>
        <w:rPr>
          <w:rFonts w:hint="eastAsia"/>
        </w:rPr>
        <w:t xml:space="preserve"> </w:t>
      </w:r>
      <w:r>
        <w:t xml:space="preserve"> </w:t>
      </w:r>
      <w:proofErr w:type="gramStart"/>
      <w:r>
        <w:t>Available at</w:t>
      </w:r>
      <w:r>
        <w:rPr>
          <w:rFonts w:hint="eastAsia"/>
        </w:rPr>
        <w:t xml:space="preserve"> </w:t>
      </w:r>
      <w:hyperlink r:id="rId1" w:history="1">
        <w:r>
          <w:rPr>
            <w:color w:val="0000FF"/>
            <w:u w:val="single"/>
          </w:rPr>
          <w:t>http://www2.ohchr.org/english/bodies/hrcouncil/docs/11session/A.HRC.11.13.pdf</w:t>
        </w:r>
      </w:hyperlink>
      <w:r>
        <w:rPr>
          <w:rFonts w:hint="eastAsia"/>
          <w:color w:val="0000FF"/>
          <w:u w:val="single"/>
        </w:rPr>
        <w:t>.</w:t>
      </w:r>
      <w:proofErr w:type="gramEnd"/>
      <w:r>
        <w:rPr>
          <w:rFonts w:hint="eastAsia"/>
          <w:color w:val="0000FF"/>
          <w:u w:val="single"/>
        </w:rPr>
        <w:t xml:space="preserve"> </w:t>
      </w:r>
      <w:r>
        <w:rPr>
          <w:rFonts w:hint="eastAsia"/>
        </w:rPr>
        <w:t>原文如下</w:t>
      </w:r>
      <w:r>
        <w:rPr>
          <w:rFonts w:hint="eastAsia"/>
        </w:rPr>
        <w:t xml:space="preserve">: </w:t>
      </w:r>
      <w:r>
        <w:t>“</w:t>
      </w:r>
      <w:r>
        <w:rPr>
          <w:rFonts w:hint="eastAsia"/>
          <w:i/>
        </w:rPr>
        <w:t>Recent experience suggests that some [investment] treaty guarantees and contract provisions may unduly constrain the host Government</w:t>
      </w:r>
      <w:r>
        <w:rPr>
          <w:i/>
        </w:rPr>
        <w:t>’</w:t>
      </w:r>
      <w:r>
        <w:rPr>
          <w:rFonts w:hint="eastAsia"/>
          <w:i/>
        </w:rPr>
        <w:t xml:space="preserve">s ability to achieve its legitimate policy objectives, including its international human rights obligations. That is because under threat of binding international arbitration, a foreign investor may be able to insulate its business venture from new laws and regulations, or seek compensation from the </w:t>
      </w:r>
      <w:r>
        <w:rPr>
          <w:i/>
        </w:rPr>
        <w:t>Government</w:t>
      </w:r>
      <w:r>
        <w:rPr>
          <w:rFonts w:hint="eastAsia"/>
          <w:i/>
        </w:rPr>
        <w:t xml:space="preserve"> for the cost of </w:t>
      </w:r>
      <w:r>
        <w:rPr>
          <w:i/>
        </w:rPr>
        <w:t>compliance</w:t>
      </w:r>
      <w:r>
        <w:rPr>
          <w:rFonts w:hint="eastAsia"/>
          <w:i/>
        </w:rPr>
        <w:t>.</w:t>
      </w:r>
      <w:r>
        <w:t>”</w:t>
      </w:r>
    </w:p>
  </w:footnote>
  <w:footnote w:id="2">
    <w:p w:rsidR="00DE3462" w:rsidRDefault="00DE3462" w:rsidP="00DE3462">
      <w:pPr>
        <w:pStyle w:val="a8"/>
        <w:spacing w:line="240" w:lineRule="exact"/>
        <w:ind w:left="180" w:hangingChars="100" w:hanging="180"/>
      </w:pPr>
      <w:r>
        <w:rPr>
          <w:rStyle w:val="a7"/>
        </w:rPr>
        <w:footnoteRef/>
      </w:r>
      <w:r>
        <w:t xml:space="preserve"> </w:t>
      </w:r>
      <w:r>
        <w:rPr>
          <w:rFonts w:hint="eastAsia"/>
        </w:rPr>
        <w:t>参见</w:t>
      </w:r>
      <w:proofErr w:type="spellStart"/>
      <w:r>
        <w:rPr>
          <w:rFonts w:hint="eastAsia"/>
        </w:rPr>
        <w:t>Wenhua</w:t>
      </w:r>
      <w:proofErr w:type="spellEnd"/>
      <w:r>
        <w:rPr>
          <w:rFonts w:hint="eastAsia"/>
        </w:rPr>
        <w:t xml:space="preserve"> Shan, Norah </w:t>
      </w:r>
      <w:proofErr w:type="spellStart"/>
      <w:r>
        <w:rPr>
          <w:rFonts w:hint="eastAsia"/>
        </w:rPr>
        <w:t>Gallagher,</w:t>
      </w:r>
      <w:r>
        <w:t>“</w:t>
      </w:r>
      <w:r>
        <w:rPr>
          <w:rFonts w:hint="eastAsia"/>
        </w:rPr>
        <w:t>Chinese</w:t>
      </w:r>
      <w:proofErr w:type="spellEnd"/>
      <w:r>
        <w:rPr>
          <w:rFonts w:hint="eastAsia"/>
        </w:rPr>
        <w:t xml:space="preserve"> Investment Treaties: Policies and Practice</w:t>
      </w:r>
      <w:r>
        <w:t>”</w:t>
      </w:r>
      <w:r>
        <w:rPr>
          <w:rFonts w:hint="eastAsia"/>
        </w:rPr>
        <w:t>, Oxford University Press,</w:t>
      </w:r>
    </w:p>
    <w:p w:rsidR="00DE3462" w:rsidRDefault="00DE3462" w:rsidP="00DE3462">
      <w:pPr>
        <w:pStyle w:val="a8"/>
        <w:spacing w:line="240" w:lineRule="exact"/>
        <w:ind w:left="180" w:hangingChars="100" w:hanging="180"/>
        <w:rPr>
          <w:i/>
        </w:rPr>
      </w:pPr>
      <w:r>
        <w:rPr>
          <w:rFonts w:hint="eastAsia"/>
        </w:rPr>
        <w:t xml:space="preserve">First Published 2009, pp399, </w:t>
      </w:r>
      <w:r>
        <w:rPr>
          <w:rFonts w:hint="eastAsia"/>
        </w:rPr>
        <w:t>原文如下</w:t>
      </w:r>
      <w:r>
        <w:rPr>
          <w:rFonts w:hint="eastAsia"/>
        </w:rPr>
        <w:t xml:space="preserve">: </w:t>
      </w:r>
      <w:r>
        <w:t>“</w:t>
      </w:r>
      <w:r>
        <w:rPr>
          <w:rFonts w:hint="eastAsia"/>
          <w:i/>
        </w:rPr>
        <w:t xml:space="preserve">Investment treaties have traditionally only imposed obligations on the host </w:t>
      </w:r>
    </w:p>
    <w:p w:rsidR="00DE3462" w:rsidRDefault="00DE3462" w:rsidP="00DE3462">
      <w:pPr>
        <w:pStyle w:val="a8"/>
        <w:spacing w:line="240" w:lineRule="exact"/>
        <w:ind w:left="180" w:hangingChars="100" w:hanging="180"/>
        <w:rPr>
          <w:i/>
        </w:rPr>
      </w:pPr>
      <w:r>
        <w:rPr>
          <w:rFonts w:hint="eastAsia"/>
          <w:i/>
        </w:rPr>
        <w:t>state without providing sufficient safeguard measures to protect its legitimate rights and interests</w:t>
      </w:r>
      <w:r>
        <w:rPr>
          <w:i/>
        </w:rPr>
        <w:t>…</w:t>
      </w:r>
      <w:r>
        <w:rPr>
          <w:rFonts w:hint="eastAsia"/>
          <w:i/>
        </w:rPr>
        <w:t xml:space="preserve"> that the balance in </w:t>
      </w:r>
    </w:p>
    <w:p w:rsidR="00DE3462" w:rsidRDefault="00DE3462" w:rsidP="00DE3462">
      <w:pPr>
        <w:pStyle w:val="a8"/>
        <w:spacing w:line="240" w:lineRule="exact"/>
        <w:ind w:left="180" w:hangingChars="100" w:hanging="180"/>
        <w:rPr>
          <w:i/>
        </w:rPr>
      </w:pPr>
      <w:r>
        <w:rPr>
          <w:rFonts w:hint="eastAsia"/>
          <w:i/>
        </w:rPr>
        <w:t>the treaties was too much in favor of the investors without regard to the host state</w:t>
      </w:r>
      <w:r>
        <w:rPr>
          <w:i/>
        </w:rPr>
        <w:t>’</w:t>
      </w:r>
      <w:r>
        <w:rPr>
          <w:rFonts w:hint="eastAsia"/>
          <w:i/>
        </w:rPr>
        <w:t xml:space="preserve">s interest in regulating for a variety </w:t>
      </w:r>
    </w:p>
    <w:p w:rsidR="00DE3462" w:rsidRDefault="00DE3462" w:rsidP="00DE3462">
      <w:pPr>
        <w:pStyle w:val="a8"/>
        <w:spacing w:line="240" w:lineRule="exact"/>
        <w:ind w:left="180" w:hangingChars="100" w:hanging="180"/>
        <w:rPr>
          <w:i/>
        </w:rPr>
      </w:pPr>
      <w:proofErr w:type="gramStart"/>
      <w:r>
        <w:rPr>
          <w:rFonts w:hint="eastAsia"/>
          <w:i/>
        </w:rPr>
        <w:t>of</w:t>
      </w:r>
      <w:proofErr w:type="gramEnd"/>
      <w:r>
        <w:rPr>
          <w:rFonts w:hint="eastAsia"/>
          <w:i/>
        </w:rPr>
        <w:t xml:space="preserve"> legitimate reasons including environmental and public security. In particular, the exception clause in BITs has been </w:t>
      </w:r>
    </w:p>
    <w:p w:rsidR="00DE3462" w:rsidRDefault="00DE3462" w:rsidP="00DE3462">
      <w:pPr>
        <w:pStyle w:val="a8"/>
        <w:spacing w:line="240" w:lineRule="exact"/>
        <w:ind w:left="180" w:hangingChars="100" w:hanging="180"/>
        <w:rPr>
          <w:i/>
        </w:rPr>
      </w:pPr>
      <w:proofErr w:type="gramStart"/>
      <w:r>
        <w:rPr>
          <w:rFonts w:hint="eastAsia"/>
          <w:i/>
        </w:rPr>
        <w:t>significantly</w:t>
      </w:r>
      <w:proofErr w:type="gramEnd"/>
      <w:r>
        <w:rPr>
          <w:rFonts w:hint="eastAsia"/>
          <w:i/>
        </w:rPr>
        <w:t xml:space="preserve"> underdeveloped, compared with trade agreement. It is therefore felt necessary to introduce such exceptions </w:t>
      </w:r>
    </w:p>
    <w:p w:rsidR="00DE3462" w:rsidRDefault="00DE3462" w:rsidP="00DE3462">
      <w:pPr>
        <w:pStyle w:val="a8"/>
        <w:spacing w:line="240" w:lineRule="exact"/>
        <w:ind w:left="180" w:hangingChars="100" w:hanging="180"/>
      </w:pPr>
      <w:proofErr w:type="gramStart"/>
      <w:r>
        <w:rPr>
          <w:rFonts w:hint="eastAsia"/>
          <w:i/>
        </w:rPr>
        <w:t>necessary</w:t>
      </w:r>
      <w:proofErr w:type="gramEnd"/>
      <w:r>
        <w:rPr>
          <w:rFonts w:hint="eastAsia"/>
          <w:i/>
        </w:rPr>
        <w:t xml:space="preserve"> to protect such rights and interests of the host state.</w:t>
      </w:r>
      <w:r>
        <w:t>”</w:t>
      </w:r>
    </w:p>
  </w:footnote>
  <w:footnote w:id="3">
    <w:p w:rsidR="00DE3462" w:rsidRPr="00DE3462" w:rsidRDefault="00DE3462" w:rsidP="00BE4F1E">
      <w:pPr>
        <w:pStyle w:val="a8"/>
        <w:spacing w:line="240" w:lineRule="exact"/>
        <w:jc w:val="both"/>
        <w:rPr>
          <w:i/>
          <w:iCs/>
        </w:rPr>
      </w:pPr>
      <w:r>
        <w:rPr>
          <w:rStyle w:val="a7"/>
        </w:rPr>
        <w:footnoteRef/>
      </w:r>
      <w:r>
        <w:t xml:space="preserve"> </w:t>
      </w:r>
      <w:r>
        <w:rPr>
          <w:rFonts w:hint="eastAsia"/>
        </w:rPr>
        <w:t xml:space="preserve"> </w:t>
      </w:r>
      <w:r>
        <w:rPr>
          <w:rFonts w:hint="eastAsia"/>
        </w:rPr>
        <w:t>参见</w:t>
      </w:r>
      <w:r>
        <w:t>“</w:t>
      </w:r>
      <w:r>
        <w:rPr>
          <w:rFonts w:hint="eastAsia"/>
        </w:rPr>
        <w:t>Public Statement on the International Investment Regime</w:t>
      </w:r>
      <w:r>
        <w:t>”</w:t>
      </w:r>
      <w:r>
        <w:rPr>
          <w:rFonts w:hint="eastAsia"/>
        </w:rPr>
        <w:t xml:space="preserve">, August 31, 2010, online: </w:t>
      </w:r>
      <w:proofErr w:type="spellStart"/>
      <w:proofErr w:type="gramStart"/>
      <w:r>
        <w:rPr>
          <w:rFonts w:hint="eastAsia"/>
        </w:rPr>
        <w:t>Osgoode</w:t>
      </w:r>
      <w:proofErr w:type="spellEnd"/>
      <w:r>
        <w:rPr>
          <w:rFonts w:hint="eastAsia"/>
        </w:rPr>
        <w:t xml:space="preserve"> Hall Law School.</w:t>
      </w:r>
      <w:proofErr w:type="gramEnd"/>
      <w:r>
        <w:rPr>
          <w:rFonts w:hint="eastAsia"/>
        </w:rPr>
        <w:t xml:space="preserve"> </w:t>
      </w:r>
      <w:proofErr w:type="gramStart"/>
      <w:r>
        <w:rPr>
          <w:rFonts w:hint="eastAsia"/>
        </w:rPr>
        <w:t xml:space="preserve">Available at </w:t>
      </w:r>
      <w:hyperlink r:id="rId2" w:history="1">
        <w:r>
          <w:rPr>
            <w:rStyle w:val="a5"/>
            <w:rFonts w:hint="eastAsia"/>
          </w:rPr>
          <w:t>http://www.osgoode.yorku.ca/public_statement.</w:t>
        </w:r>
        <w:proofErr w:type="gramEnd"/>
      </w:hyperlink>
      <w:r>
        <w:rPr>
          <w:rFonts w:hint="eastAsia"/>
        </w:rPr>
        <w:t xml:space="preserve"> </w:t>
      </w:r>
      <w:r>
        <w:rPr>
          <w:rFonts w:hint="eastAsia"/>
        </w:rPr>
        <w:t>原文如下</w:t>
      </w:r>
      <w:r>
        <w:rPr>
          <w:rFonts w:hint="eastAsia"/>
        </w:rPr>
        <w:t xml:space="preserve">: </w:t>
      </w:r>
      <w:r>
        <w:t>“</w:t>
      </w:r>
      <w:r>
        <w:rPr>
          <w:rFonts w:hint="eastAsia"/>
          <w:i/>
          <w:iCs/>
        </w:rPr>
        <w:t xml:space="preserve">We have a shared concern for the harm done to the public welfare by the international investment regime, as currently structured, especially </w:t>
      </w:r>
      <w:proofErr w:type="gramStart"/>
      <w:r>
        <w:rPr>
          <w:rFonts w:hint="eastAsia"/>
          <w:i/>
          <w:iCs/>
        </w:rPr>
        <w:t>its</w:t>
      </w:r>
      <w:proofErr w:type="gramEnd"/>
      <w:r>
        <w:rPr>
          <w:rFonts w:hint="eastAsia"/>
          <w:i/>
          <w:iCs/>
        </w:rPr>
        <w:t xml:space="preserve"> hampering of the ability of governments to act for their people in response to the concerns of human development and environment sustainability.</w:t>
      </w:r>
      <w:r>
        <w:t>”</w:t>
      </w:r>
    </w:p>
  </w:footnote>
  <w:footnote w:id="4">
    <w:p w:rsidR="00DE3462" w:rsidRPr="00BE4F1E" w:rsidRDefault="00DE3462" w:rsidP="00BE4F1E">
      <w:pPr>
        <w:pStyle w:val="Default"/>
        <w:adjustRightInd/>
        <w:spacing w:line="240" w:lineRule="exact"/>
        <w:jc w:val="both"/>
        <w:rPr>
          <w:rFonts w:ascii="Times New Roman" w:hAnsi="Times New Roman" w:cs="Times New Roman"/>
          <w:sz w:val="18"/>
          <w:szCs w:val="18"/>
        </w:rPr>
      </w:pPr>
      <w:r>
        <w:rPr>
          <w:rStyle w:val="a7"/>
        </w:rPr>
        <w:footnoteRef/>
      </w:r>
      <w:r>
        <w:t xml:space="preserve"> </w:t>
      </w:r>
      <w:r>
        <w:rPr>
          <w:rFonts w:hint="eastAsia"/>
          <w:sz w:val="18"/>
          <w:szCs w:val="18"/>
        </w:rPr>
        <w:t>参见</w:t>
      </w:r>
      <w:r>
        <w:rPr>
          <w:rFonts w:ascii="Times New Roman" w:hAnsi="Times New Roman" w:cs="Times New Roman"/>
          <w:sz w:val="18"/>
          <w:szCs w:val="18"/>
        </w:rPr>
        <w:t xml:space="preserve">Tony </w:t>
      </w:r>
      <w:proofErr w:type="spellStart"/>
      <w:r>
        <w:rPr>
          <w:rFonts w:ascii="Times New Roman" w:hAnsi="Times New Roman" w:cs="Times New Roman"/>
          <w:sz w:val="18"/>
          <w:szCs w:val="18"/>
        </w:rPr>
        <w:t>VanDuzer</w:t>
      </w:r>
      <w:proofErr w:type="spellEnd"/>
      <w:r>
        <w:rPr>
          <w:rFonts w:ascii="Times New Roman" w:hAnsi="Times New Roman" w:cs="Times New Roman"/>
          <w:sz w:val="18"/>
          <w:szCs w:val="18"/>
        </w:rPr>
        <w:t xml:space="preserve">, Penelope Simons and Graham </w:t>
      </w:r>
      <w:proofErr w:type="spellStart"/>
      <w:r>
        <w:rPr>
          <w:rFonts w:ascii="Times New Roman" w:hAnsi="Times New Roman" w:cs="Times New Roman"/>
          <w:sz w:val="18"/>
          <w:szCs w:val="18"/>
        </w:rPr>
        <w:t>Mayeda</w:t>
      </w:r>
      <w:proofErr w:type="spellEnd"/>
      <w:r>
        <w:rPr>
          <w:rFonts w:ascii="Times New Roman" w:hAnsi="Times New Roman" w:cs="Times New Roman"/>
          <w:sz w:val="18"/>
          <w:szCs w:val="18"/>
        </w:rPr>
        <w:t>,“Integrating Sustainable Development into</w:t>
      </w:r>
      <w:r w:rsidR="00BE4F1E">
        <w:rPr>
          <w:rFonts w:ascii="Times New Roman" w:hAnsi="Times New Roman" w:cs="Times New Roman" w:hint="eastAsia"/>
          <w:sz w:val="18"/>
          <w:szCs w:val="18"/>
        </w:rPr>
        <w:t xml:space="preserve"> </w:t>
      </w:r>
      <w:r>
        <w:rPr>
          <w:rFonts w:ascii="Times New Roman" w:hAnsi="Times New Roman" w:cs="Times New Roman"/>
          <w:sz w:val="18"/>
          <w:szCs w:val="18"/>
        </w:rPr>
        <w:t>International Investment Agreements: A Guide for Developing Country Negotiators”, prepared for the</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Commonwealth </w:t>
      </w:r>
      <w:r w:rsidRPr="00BE4F1E">
        <w:rPr>
          <w:rFonts w:ascii="Times New Roman" w:hAnsi="Times New Roman" w:cs="Times New Roman"/>
          <w:sz w:val="18"/>
          <w:szCs w:val="18"/>
        </w:rPr>
        <w:t>Secretariat, August 2012.</w:t>
      </w:r>
      <w:r w:rsidR="00BE4F1E" w:rsidRPr="00BE4F1E">
        <w:rPr>
          <w:rFonts w:ascii="Times New Roman" w:hAnsi="Times New Roman" w:cs="Times New Roman"/>
          <w:sz w:val="18"/>
          <w:szCs w:val="18"/>
        </w:rPr>
        <w:t xml:space="preserve"> Available </w:t>
      </w:r>
      <w:proofErr w:type="gramStart"/>
      <w:r w:rsidRPr="00BE4F1E">
        <w:rPr>
          <w:rFonts w:ascii="Times New Roman" w:hAnsi="Times New Roman" w:cs="Times New Roman"/>
          <w:sz w:val="18"/>
          <w:szCs w:val="18"/>
        </w:rPr>
        <w:t xml:space="preserve">at </w:t>
      </w:r>
      <w:r w:rsidR="00BE4F1E">
        <w:rPr>
          <w:rFonts w:ascii="Times New Roman" w:hAnsi="Times New Roman" w:cs="Times New Roman" w:hint="eastAsia"/>
          <w:sz w:val="18"/>
          <w:szCs w:val="18"/>
        </w:rPr>
        <w:t xml:space="preserve"> </w:t>
      </w:r>
      <w:proofErr w:type="gramEnd"/>
      <w:r w:rsidRPr="00BE4F1E">
        <w:rPr>
          <w:rFonts w:ascii="Times New Roman" w:hAnsi="Times New Roman" w:cs="Times New Roman"/>
          <w:sz w:val="18"/>
          <w:szCs w:val="18"/>
        </w:rPr>
        <w:fldChar w:fldCharType="begin"/>
      </w:r>
      <w:r w:rsidRPr="00BE4F1E">
        <w:rPr>
          <w:rFonts w:ascii="Times New Roman" w:hAnsi="Times New Roman" w:cs="Times New Roman"/>
          <w:sz w:val="18"/>
          <w:szCs w:val="18"/>
        </w:rPr>
        <w:instrText xml:space="preserve"> HYPERLINK "http://www.iisd.org/pdf/2012/6th_annual_forum_commonwealth_guide.pdf" </w:instrText>
      </w:r>
      <w:r w:rsidRPr="00BE4F1E">
        <w:rPr>
          <w:rFonts w:ascii="Times New Roman" w:hAnsi="Times New Roman" w:cs="Times New Roman"/>
          <w:sz w:val="18"/>
          <w:szCs w:val="18"/>
        </w:rPr>
        <w:fldChar w:fldCharType="separate"/>
      </w:r>
      <w:r w:rsidRPr="00BE4F1E">
        <w:rPr>
          <w:rStyle w:val="a6"/>
          <w:rFonts w:ascii="Times New Roman" w:hAnsi="Times New Roman" w:cs="Times New Roman"/>
          <w:sz w:val="18"/>
          <w:szCs w:val="18"/>
        </w:rPr>
        <w:t>http://www.iisd.org/pdf/2012/6th_annual_forum_commonwealth_guide.pdf</w:t>
      </w:r>
      <w:r w:rsidRPr="00BE4F1E">
        <w:rPr>
          <w:rFonts w:ascii="Times New Roman" w:hAnsi="Times New Roman" w:cs="Times New Roman"/>
          <w:sz w:val="18"/>
          <w:szCs w:val="18"/>
        </w:rPr>
        <w:fldChar w:fldCharType="end"/>
      </w:r>
      <w:r w:rsidRPr="00BE4F1E">
        <w:rPr>
          <w:rFonts w:ascii="Times New Roman" w:hAnsi="Times New Roman" w:cs="Times New Roman"/>
          <w:sz w:val="18"/>
          <w:szCs w:val="18"/>
        </w:rPr>
        <w:t xml:space="preserve">. </w:t>
      </w:r>
      <w:r w:rsidRPr="00BE4F1E">
        <w:rPr>
          <w:rFonts w:ascii="Times New Roman" w:hAnsi="Times New Roman" w:cs="Times New Roman"/>
          <w:sz w:val="18"/>
          <w:szCs w:val="18"/>
        </w:rPr>
        <w:t>原文如下</w:t>
      </w:r>
      <w:r w:rsidRPr="00BE4F1E">
        <w:rPr>
          <w:rFonts w:ascii="Times New Roman" w:hAnsi="Times New Roman" w:cs="Times New Roman"/>
          <w:sz w:val="18"/>
          <w:szCs w:val="18"/>
        </w:rPr>
        <w:t>: “</w:t>
      </w:r>
      <w:r w:rsidRPr="00BE4F1E">
        <w:rPr>
          <w:rFonts w:ascii="Times New Roman" w:hAnsi="Times New Roman" w:cs="Times New Roman"/>
          <w:i/>
          <w:sz w:val="18"/>
          <w:szCs w:val="18"/>
        </w:rPr>
        <w:t>IIAs may make it difficult for countries to achieve essential public policy objectives, including their development goals and the maintenance of environmental, human rights and labor rights standards.”</w:t>
      </w:r>
    </w:p>
  </w:footnote>
  <w:footnote w:id="5">
    <w:p w:rsidR="00BE4F1E" w:rsidRDefault="006777FA" w:rsidP="00BE4F1E">
      <w:pPr>
        <w:pStyle w:val="a8"/>
        <w:spacing w:line="240" w:lineRule="exact"/>
        <w:ind w:left="180" w:hangingChars="100" w:hanging="180"/>
        <w:jc w:val="both"/>
      </w:pPr>
      <w:r>
        <w:rPr>
          <w:rStyle w:val="a7"/>
        </w:rPr>
        <w:footnoteRef/>
      </w:r>
      <w:r>
        <w:t xml:space="preserve"> </w:t>
      </w:r>
      <w:r>
        <w:rPr>
          <w:rFonts w:hint="eastAsia"/>
        </w:rPr>
        <w:t>参见</w:t>
      </w:r>
      <w:r>
        <w:t xml:space="preserve">Howard Mann, “Investment Agreements and the Regulatory State: Can Exceptions Clauses Create a Safe Haven </w:t>
      </w:r>
    </w:p>
    <w:p w:rsidR="00BE4F1E" w:rsidRDefault="006777FA" w:rsidP="00BE4F1E">
      <w:pPr>
        <w:pStyle w:val="a8"/>
        <w:spacing w:line="240" w:lineRule="exact"/>
        <w:ind w:left="180" w:hangingChars="100" w:hanging="180"/>
        <w:jc w:val="both"/>
      </w:pPr>
      <w:proofErr w:type="gramStart"/>
      <w:r>
        <w:t>For</w:t>
      </w:r>
      <w:r w:rsidR="00BE4F1E">
        <w:rPr>
          <w:rFonts w:hint="eastAsia"/>
        </w:rPr>
        <w:t xml:space="preserve"> </w:t>
      </w:r>
      <w:r>
        <w:t>Governments?”</w:t>
      </w:r>
      <w:proofErr w:type="gramEnd"/>
      <w:r>
        <w:t xml:space="preserve"> Background Papers for the Developing Country Investment</w:t>
      </w:r>
      <w:r w:rsidR="00BE4F1E">
        <w:t xml:space="preserve"> Negotiators’ Forum, Singapore,</w:t>
      </w:r>
    </w:p>
    <w:p w:rsidR="006777FA" w:rsidRDefault="00BE4F1E" w:rsidP="00BE4F1E">
      <w:pPr>
        <w:pStyle w:val="a8"/>
        <w:spacing w:line="240" w:lineRule="exact"/>
        <w:ind w:left="180" w:hangingChars="100" w:hanging="180"/>
        <w:jc w:val="both"/>
      </w:pPr>
      <w:r>
        <w:t>October, 2007</w:t>
      </w:r>
      <w:proofErr w:type="gramStart"/>
      <w:r>
        <w:t>,</w:t>
      </w:r>
      <w:r w:rsidR="006777FA">
        <w:rPr>
          <w:rFonts w:hint="eastAsia"/>
        </w:rPr>
        <w:t>available</w:t>
      </w:r>
      <w:proofErr w:type="gramEnd"/>
      <w:r w:rsidR="006777FA">
        <w:rPr>
          <w:rFonts w:hint="eastAsia"/>
        </w:rPr>
        <w:t xml:space="preserve"> at </w:t>
      </w:r>
      <w:hyperlink r:id="rId3" w:history="1">
        <w:r w:rsidR="006777FA">
          <w:rPr>
            <w:rStyle w:val="a6"/>
          </w:rPr>
          <w:t>http://www.iisd.org/pdf/2007/inv_agreements_reg_state.pdf</w:t>
        </w:r>
      </w:hyperlink>
      <w:r w:rsidR="006777FA">
        <w:t>.</w:t>
      </w:r>
    </w:p>
  </w:footnote>
  <w:footnote w:id="6">
    <w:p w:rsidR="006777FA" w:rsidRDefault="006777FA" w:rsidP="006777FA">
      <w:pPr>
        <w:pStyle w:val="a8"/>
        <w:spacing w:line="240" w:lineRule="exact"/>
        <w:jc w:val="both"/>
      </w:pPr>
      <w:r>
        <w:rPr>
          <w:rStyle w:val="a7"/>
        </w:rPr>
        <w:footnoteRef/>
      </w:r>
      <w:r>
        <w:t xml:space="preserve"> </w:t>
      </w:r>
      <w:proofErr w:type="gramStart"/>
      <w:r>
        <w:rPr>
          <w:rFonts w:hint="eastAsia"/>
        </w:rPr>
        <w:t>NAFTA</w:t>
      </w:r>
      <w:r>
        <w:rPr>
          <w:rFonts w:hint="eastAsia"/>
        </w:rPr>
        <w:t>下的案件包括：</w:t>
      </w:r>
      <w:r>
        <w:rPr>
          <w:i/>
          <w:iCs/>
        </w:rPr>
        <w:t>Grand River Enterprise.</w:t>
      </w:r>
      <w:proofErr w:type="gramEnd"/>
      <w:r>
        <w:rPr>
          <w:i/>
          <w:iCs/>
        </w:rPr>
        <w:t xml:space="preserve"> Six Nations, Ltd., et al. v United States</w:t>
      </w:r>
      <w:r>
        <w:t>, UNCITRAL,</w:t>
      </w:r>
      <w:r>
        <w:rPr>
          <w:rFonts w:hint="eastAsia"/>
        </w:rPr>
        <w:t xml:space="preserve"> </w:t>
      </w:r>
      <w:r>
        <w:t xml:space="preserve">Award, 12 Jan. 2011; </w:t>
      </w:r>
      <w:proofErr w:type="spellStart"/>
      <w:r>
        <w:rPr>
          <w:i/>
          <w:iCs/>
        </w:rPr>
        <w:t>Glamis</w:t>
      </w:r>
      <w:proofErr w:type="spellEnd"/>
      <w:r>
        <w:rPr>
          <w:i/>
          <w:iCs/>
        </w:rPr>
        <w:t xml:space="preserve"> Gold v United States</w:t>
      </w:r>
      <w:r>
        <w:t xml:space="preserve">, UNCITRAL, Award, 8 Jun. 2009; </w:t>
      </w:r>
      <w:proofErr w:type="spellStart"/>
      <w:r>
        <w:rPr>
          <w:i/>
          <w:iCs/>
        </w:rPr>
        <w:t>Methanex</w:t>
      </w:r>
      <w:proofErr w:type="spellEnd"/>
      <w:r>
        <w:rPr>
          <w:i/>
          <w:iCs/>
        </w:rPr>
        <w:t xml:space="preserve"> Corp. v United States</w:t>
      </w:r>
      <w:r>
        <w:t>, UNCITRAL , Award, 3 Aug. 2005; S.D. Myers Inc. v Canada, UNCITRAL, Final Award, 13 Dec. 2002</w:t>
      </w:r>
      <w:r>
        <w:rPr>
          <w:rFonts w:hint="eastAsia"/>
        </w:rPr>
        <w:t xml:space="preserve">,etc.; </w:t>
      </w:r>
    </w:p>
    <w:p w:rsidR="006777FA" w:rsidRDefault="006777FA" w:rsidP="006777FA">
      <w:pPr>
        <w:pStyle w:val="a8"/>
        <w:spacing w:line="240" w:lineRule="exact"/>
        <w:jc w:val="both"/>
      </w:pPr>
      <w:proofErr w:type="gramStart"/>
      <w:r>
        <w:rPr>
          <w:rFonts w:hint="eastAsia"/>
        </w:rPr>
        <w:t>ICSID</w:t>
      </w:r>
      <w:r>
        <w:rPr>
          <w:rFonts w:hint="eastAsia"/>
        </w:rPr>
        <w:t>下的案件包括：</w:t>
      </w:r>
      <w:r>
        <w:rPr>
          <w:i/>
          <w:color w:val="000000"/>
          <w:shd w:val="clear" w:color="auto" w:fill="FFFFFF"/>
        </w:rPr>
        <w:t>El Paso Energy International Company v.</w:t>
      </w:r>
      <w:proofErr w:type="gramEnd"/>
      <w:r>
        <w:rPr>
          <w:i/>
          <w:color w:val="000000"/>
          <w:shd w:val="clear" w:color="auto" w:fill="FFFFFF"/>
        </w:rPr>
        <w:t xml:space="preserve"> </w:t>
      </w:r>
      <w:proofErr w:type="gramStart"/>
      <w:r>
        <w:rPr>
          <w:i/>
          <w:color w:val="000000"/>
          <w:shd w:val="clear" w:color="auto" w:fill="FFFFFF"/>
        </w:rPr>
        <w:t>The Argentine Republic</w:t>
      </w:r>
      <w:r>
        <w:rPr>
          <w:color w:val="000000"/>
          <w:shd w:val="clear" w:color="auto" w:fill="FFFFFF"/>
        </w:rPr>
        <w:t>, ICSID Case No.</w:t>
      </w:r>
      <w:proofErr w:type="gramEnd"/>
      <w:r>
        <w:rPr>
          <w:color w:val="000000"/>
          <w:shd w:val="clear" w:color="auto" w:fill="FFFFFF"/>
        </w:rPr>
        <w:t xml:space="preserve"> </w:t>
      </w:r>
      <w:proofErr w:type="gramStart"/>
      <w:r>
        <w:rPr>
          <w:color w:val="000000"/>
          <w:shd w:val="clear" w:color="auto" w:fill="FFFFFF"/>
        </w:rPr>
        <w:t>ARB/03/15, Award, 31 Oct</w:t>
      </w:r>
      <w:r>
        <w:rPr>
          <w:rFonts w:eastAsia="Calibri"/>
          <w:color w:val="000000"/>
          <w:lang w:val="en-GB" w:eastAsia="en-GB"/>
        </w:rPr>
        <w:t xml:space="preserve">. </w:t>
      </w:r>
      <w:r>
        <w:rPr>
          <w:color w:val="000000"/>
          <w:shd w:val="clear" w:color="auto" w:fill="FFFFFF"/>
        </w:rPr>
        <w:t xml:space="preserve">2011; </w:t>
      </w:r>
      <w:proofErr w:type="spellStart"/>
      <w:r>
        <w:rPr>
          <w:i/>
          <w:color w:val="000000"/>
          <w:shd w:val="clear" w:color="auto" w:fill="FFFFFF"/>
        </w:rPr>
        <w:t>Vattenfall</w:t>
      </w:r>
      <w:proofErr w:type="spellEnd"/>
      <w:r>
        <w:rPr>
          <w:i/>
          <w:color w:val="000000"/>
          <w:shd w:val="clear" w:color="auto" w:fill="FFFFFF"/>
        </w:rPr>
        <w:t xml:space="preserve"> AB, </w:t>
      </w:r>
      <w:proofErr w:type="spellStart"/>
      <w:r>
        <w:rPr>
          <w:i/>
          <w:color w:val="000000"/>
          <w:shd w:val="clear" w:color="auto" w:fill="FFFFFF"/>
        </w:rPr>
        <w:t>Vattenfall</w:t>
      </w:r>
      <w:proofErr w:type="spellEnd"/>
      <w:r>
        <w:rPr>
          <w:i/>
          <w:color w:val="000000"/>
          <w:shd w:val="clear" w:color="auto" w:fill="FFFFFF"/>
        </w:rPr>
        <w:t xml:space="preserve"> Europe AG, </w:t>
      </w:r>
      <w:proofErr w:type="spellStart"/>
      <w:r>
        <w:rPr>
          <w:i/>
          <w:color w:val="000000"/>
          <w:shd w:val="clear" w:color="auto" w:fill="FFFFFF"/>
        </w:rPr>
        <w:t>Vattenfall</w:t>
      </w:r>
      <w:proofErr w:type="spellEnd"/>
      <w:r>
        <w:rPr>
          <w:i/>
          <w:color w:val="000000"/>
          <w:shd w:val="clear" w:color="auto" w:fill="FFFFFF"/>
        </w:rPr>
        <w:t xml:space="preserve"> Europe Generation AG</w:t>
      </w:r>
      <w:r>
        <w:rPr>
          <w:i/>
          <w:color w:val="FF0000"/>
        </w:rPr>
        <w:t xml:space="preserve"> </w:t>
      </w:r>
      <w:r>
        <w:rPr>
          <w:i/>
        </w:rPr>
        <w:t>v</w:t>
      </w:r>
      <w:r>
        <w:rPr>
          <w:rFonts w:hint="eastAsia"/>
          <w:i/>
        </w:rPr>
        <w:t xml:space="preserve"> </w:t>
      </w:r>
      <w:r>
        <w:rPr>
          <w:i/>
        </w:rPr>
        <w:t>Federal Republic of Germany</w:t>
      </w:r>
      <w:r>
        <w:t>, ICSID Case No.</w:t>
      </w:r>
      <w:proofErr w:type="gramEnd"/>
      <w:r>
        <w:t xml:space="preserve"> </w:t>
      </w:r>
      <w:proofErr w:type="gramStart"/>
      <w:r>
        <w:t>ARB/09/6, Award, 11 Mar. 2011;</w:t>
      </w:r>
      <w:r>
        <w:rPr>
          <w:color w:val="FF0000"/>
        </w:rPr>
        <w:t xml:space="preserve"> </w:t>
      </w:r>
      <w:proofErr w:type="spellStart"/>
      <w:r>
        <w:rPr>
          <w:i/>
          <w:iCs/>
        </w:rPr>
        <w:t>Biwater</w:t>
      </w:r>
      <w:proofErr w:type="spellEnd"/>
      <w:r>
        <w:rPr>
          <w:i/>
          <w:iCs/>
        </w:rPr>
        <w:t xml:space="preserve"> </w:t>
      </w:r>
      <w:proofErr w:type="spellStart"/>
      <w:r>
        <w:rPr>
          <w:i/>
          <w:iCs/>
        </w:rPr>
        <w:t>Gauff</w:t>
      </w:r>
      <w:proofErr w:type="spellEnd"/>
      <w:r>
        <w:rPr>
          <w:i/>
          <w:iCs/>
        </w:rPr>
        <w:t xml:space="preserve"> (Tanzania) Ltd. v Tanzania</w:t>
      </w:r>
      <w:r>
        <w:t>, ICSID Case No.</w:t>
      </w:r>
      <w:proofErr w:type="gramEnd"/>
      <w:r>
        <w:t xml:space="preserve"> </w:t>
      </w:r>
      <w:proofErr w:type="gramStart"/>
      <w:r>
        <w:t>ARB/05/22, Award, 24 July 2008;</w:t>
      </w:r>
      <w:r>
        <w:rPr>
          <w:color w:val="FF0000"/>
        </w:rPr>
        <w:t xml:space="preserve"> </w:t>
      </w:r>
      <w:proofErr w:type="spellStart"/>
      <w:r>
        <w:rPr>
          <w:i/>
          <w:iCs/>
        </w:rPr>
        <w:t>Azurix</w:t>
      </w:r>
      <w:proofErr w:type="spellEnd"/>
      <w:r>
        <w:rPr>
          <w:i/>
          <w:iCs/>
        </w:rPr>
        <w:t xml:space="preserve"> Corp. v Argentina</w:t>
      </w:r>
      <w:r>
        <w:t>, ICSID Case No.</w:t>
      </w:r>
      <w:proofErr w:type="gramEnd"/>
      <w:r>
        <w:t xml:space="preserve"> ARB/1/12, Award, 14 July 2006;</w:t>
      </w:r>
      <w:r>
        <w:rPr>
          <w:i/>
          <w:iCs/>
          <w:color w:val="FF0000"/>
        </w:rPr>
        <w:t xml:space="preserve"> </w:t>
      </w:r>
      <w:proofErr w:type="spellStart"/>
      <w:r>
        <w:rPr>
          <w:i/>
          <w:iCs/>
        </w:rPr>
        <w:t>Aguas</w:t>
      </w:r>
      <w:proofErr w:type="spellEnd"/>
      <w:r>
        <w:rPr>
          <w:i/>
          <w:iCs/>
        </w:rPr>
        <w:t xml:space="preserve"> </w:t>
      </w:r>
      <w:proofErr w:type="gramStart"/>
      <w:r>
        <w:rPr>
          <w:i/>
          <w:iCs/>
        </w:rPr>
        <w:t>del</w:t>
      </w:r>
      <w:proofErr w:type="gramEnd"/>
      <w:r>
        <w:rPr>
          <w:i/>
          <w:iCs/>
        </w:rPr>
        <w:t xml:space="preserve"> </w:t>
      </w:r>
      <w:proofErr w:type="spellStart"/>
      <w:r>
        <w:rPr>
          <w:i/>
          <w:iCs/>
        </w:rPr>
        <w:t>Tunari</w:t>
      </w:r>
      <w:proofErr w:type="spellEnd"/>
      <w:r>
        <w:rPr>
          <w:i/>
          <w:iCs/>
        </w:rPr>
        <w:t xml:space="preserve"> S.A. v Bolivia</w:t>
      </w:r>
      <w:r>
        <w:t>, ICSID Case No. ARB/02/3, Decision on Jurisdiction, 21 October 2005</w:t>
      </w:r>
      <w:r>
        <w:rPr>
          <w:rFonts w:hint="eastAsia"/>
        </w:rPr>
        <w:t>.</w:t>
      </w:r>
    </w:p>
  </w:footnote>
  <w:footnote w:id="7">
    <w:p w:rsidR="00A82A47" w:rsidRPr="00EB084B" w:rsidRDefault="00A82A47" w:rsidP="00A82A47">
      <w:pPr>
        <w:pStyle w:val="a8"/>
        <w:spacing w:line="240" w:lineRule="exact"/>
      </w:pPr>
      <w:r>
        <w:rPr>
          <w:rStyle w:val="a7"/>
        </w:rPr>
        <w:footnoteRef/>
      </w:r>
      <w:r>
        <w:t xml:space="preserve"> </w:t>
      </w:r>
      <w:r>
        <w:rPr>
          <w:rStyle w:val="apple-converted-space"/>
          <w:rFonts w:ascii="Lucida Sans Unicode" w:hAnsi="Lucida Sans Unicode" w:cs="Lucida Sans Unicode"/>
          <w:color w:val="000000"/>
          <w:sz w:val="21"/>
          <w:szCs w:val="21"/>
          <w:shd w:val="clear" w:color="auto" w:fill="FFFFFF"/>
        </w:rPr>
        <w:t> </w:t>
      </w:r>
      <w:r w:rsidRPr="00A61190">
        <w:rPr>
          <w:rStyle w:val="a9"/>
          <w:color w:val="000000"/>
          <w:bdr w:val="none" w:sz="0" w:space="0" w:color="auto" w:frame="1"/>
          <w:shd w:val="clear" w:color="auto" w:fill="FFFFFF"/>
        </w:rPr>
        <w:t>Occidental Petroleum Corporation and Occidental Exploration and Production Company v Republic of Ecuador</w:t>
      </w:r>
      <w:r w:rsidRPr="00A61190">
        <w:rPr>
          <w:color w:val="000000"/>
          <w:shd w:val="clear" w:color="auto" w:fill="FFFFFF"/>
        </w:rPr>
        <w:t>, ICSID Case No ARB/06/11, Award (5 October 2012)</w:t>
      </w:r>
    </w:p>
  </w:footnote>
  <w:footnote w:id="8">
    <w:p w:rsidR="00BE4F1E" w:rsidRDefault="006777FA" w:rsidP="006777FA">
      <w:pPr>
        <w:pStyle w:val="a8"/>
        <w:spacing w:line="240" w:lineRule="exact"/>
        <w:ind w:left="180" w:hangingChars="100" w:hanging="180"/>
      </w:pPr>
      <w:r>
        <w:rPr>
          <w:rStyle w:val="a7"/>
        </w:rPr>
        <w:footnoteRef/>
      </w:r>
      <w:r>
        <w:t xml:space="preserve"> </w:t>
      </w:r>
      <w:r>
        <w:rPr>
          <w:rFonts w:hint="eastAsia"/>
        </w:rPr>
        <w:t>参见</w:t>
      </w:r>
      <w:r>
        <w:t>W. Dodge, “Investor-State Dispute Settlement between Developed Countries: Reflections on the Australia-</w:t>
      </w:r>
    </w:p>
    <w:p w:rsidR="006777FA" w:rsidRDefault="00BE4F1E" w:rsidP="00BE4F1E">
      <w:pPr>
        <w:pStyle w:val="a8"/>
        <w:spacing w:line="240" w:lineRule="exact"/>
      </w:pPr>
      <w:proofErr w:type="gramStart"/>
      <w:r>
        <w:t xml:space="preserve">United States Free </w:t>
      </w:r>
      <w:r w:rsidR="006777FA">
        <w:t xml:space="preserve">Trade Agreement”, (2006) 39 </w:t>
      </w:r>
      <w:proofErr w:type="spellStart"/>
      <w:r w:rsidR="006777FA">
        <w:t>Vand</w:t>
      </w:r>
      <w:proofErr w:type="spellEnd"/>
      <w:r w:rsidR="006777FA">
        <w:t>.</w:t>
      </w:r>
      <w:proofErr w:type="gramEnd"/>
      <w:r w:rsidR="006777FA">
        <w:t xml:space="preserve"> J. </w:t>
      </w:r>
      <w:proofErr w:type="spellStart"/>
      <w:r w:rsidR="006777FA">
        <w:t>Transnat’l</w:t>
      </w:r>
      <w:proofErr w:type="spellEnd"/>
      <w:r w:rsidR="006777FA">
        <w:t xml:space="preserve"> L. 1 (2006).</w:t>
      </w:r>
    </w:p>
  </w:footnote>
  <w:footnote w:id="9">
    <w:p w:rsidR="00BE4F1E" w:rsidRDefault="0059564D" w:rsidP="0059564D">
      <w:pPr>
        <w:pStyle w:val="a8"/>
        <w:spacing w:line="240" w:lineRule="exact"/>
        <w:ind w:left="180" w:hangingChars="100" w:hanging="180"/>
      </w:pPr>
      <w:r>
        <w:rPr>
          <w:rStyle w:val="a7"/>
        </w:rPr>
        <w:footnoteRef/>
      </w:r>
      <w:r>
        <w:t xml:space="preserve"> </w:t>
      </w:r>
      <w:r>
        <w:rPr>
          <w:rFonts w:hint="eastAsia"/>
        </w:rPr>
        <w:t>例如：新加坡</w:t>
      </w:r>
      <w:r>
        <w:rPr>
          <w:rFonts w:hint="eastAsia"/>
        </w:rPr>
        <w:t>-</w:t>
      </w:r>
      <w:r>
        <w:rPr>
          <w:rFonts w:hint="eastAsia"/>
        </w:rPr>
        <w:t>约旦</w:t>
      </w:r>
      <w:r>
        <w:rPr>
          <w:rFonts w:hint="eastAsia"/>
        </w:rPr>
        <w:t>2004</w:t>
      </w:r>
      <w:r>
        <w:rPr>
          <w:rFonts w:hint="eastAsia"/>
        </w:rPr>
        <w:t>年</w:t>
      </w:r>
      <w:r>
        <w:rPr>
          <w:rFonts w:hint="eastAsia"/>
        </w:rPr>
        <w:t>BIT</w:t>
      </w:r>
      <w:r>
        <w:rPr>
          <w:rFonts w:hint="eastAsia"/>
        </w:rPr>
        <w:t>第</w:t>
      </w:r>
      <w:r>
        <w:rPr>
          <w:rFonts w:hint="eastAsia"/>
        </w:rPr>
        <w:t>18</w:t>
      </w:r>
      <w:r>
        <w:rPr>
          <w:rFonts w:hint="eastAsia"/>
        </w:rPr>
        <w:t>条；新加坡</w:t>
      </w:r>
      <w:r>
        <w:rPr>
          <w:rFonts w:hint="eastAsia"/>
        </w:rPr>
        <w:t>-</w:t>
      </w:r>
      <w:r>
        <w:rPr>
          <w:rFonts w:hint="eastAsia"/>
        </w:rPr>
        <w:t>澳大利亚</w:t>
      </w:r>
      <w:r>
        <w:rPr>
          <w:rFonts w:hint="eastAsia"/>
        </w:rPr>
        <w:t>2003</w:t>
      </w:r>
      <w:r>
        <w:rPr>
          <w:rFonts w:hint="eastAsia"/>
        </w:rPr>
        <w:t>年</w:t>
      </w:r>
      <w:r>
        <w:rPr>
          <w:rFonts w:hint="eastAsia"/>
        </w:rPr>
        <w:t>FTA</w:t>
      </w:r>
      <w:r>
        <w:rPr>
          <w:rFonts w:hint="eastAsia"/>
        </w:rPr>
        <w:t>第</w:t>
      </w:r>
      <w:r>
        <w:rPr>
          <w:rFonts w:hint="eastAsia"/>
        </w:rPr>
        <w:t>21</w:t>
      </w:r>
      <w:r>
        <w:rPr>
          <w:rFonts w:hint="eastAsia"/>
        </w:rPr>
        <w:t>条；新加坡</w:t>
      </w:r>
      <w:r>
        <w:rPr>
          <w:rFonts w:hint="eastAsia"/>
        </w:rPr>
        <w:t>-</w:t>
      </w:r>
      <w:r>
        <w:rPr>
          <w:rFonts w:hint="eastAsia"/>
        </w:rPr>
        <w:t>印度</w:t>
      </w:r>
      <w:r>
        <w:rPr>
          <w:rFonts w:hint="eastAsia"/>
        </w:rPr>
        <w:t>2005</w:t>
      </w:r>
      <w:r>
        <w:rPr>
          <w:rFonts w:hint="eastAsia"/>
        </w:rPr>
        <w:t>年</w:t>
      </w:r>
      <w:r>
        <w:rPr>
          <w:rFonts w:hint="eastAsia"/>
        </w:rPr>
        <w:t>FTA</w:t>
      </w:r>
    </w:p>
    <w:p w:rsidR="00BE4F1E" w:rsidRDefault="0059564D" w:rsidP="00BE4F1E">
      <w:pPr>
        <w:pStyle w:val="a8"/>
        <w:spacing w:line="240" w:lineRule="exact"/>
        <w:ind w:left="180" w:hangingChars="100" w:hanging="180"/>
      </w:pPr>
      <w:r>
        <w:rPr>
          <w:rFonts w:hint="eastAsia"/>
        </w:rPr>
        <w:t>第</w:t>
      </w:r>
      <w:r>
        <w:rPr>
          <w:rFonts w:hint="eastAsia"/>
        </w:rPr>
        <w:t>6.11</w:t>
      </w:r>
      <w:r>
        <w:rPr>
          <w:rFonts w:hint="eastAsia"/>
        </w:rPr>
        <w:t>条；新加坡</w:t>
      </w:r>
      <w:r>
        <w:rPr>
          <w:rFonts w:hint="eastAsia"/>
        </w:rPr>
        <w:t>-</w:t>
      </w:r>
      <w:r>
        <w:rPr>
          <w:rFonts w:hint="eastAsia"/>
        </w:rPr>
        <w:t>日本</w:t>
      </w:r>
      <w:r>
        <w:rPr>
          <w:rFonts w:hint="eastAsia"/>
        </w:rPr>
        <w:t>2007</w:t>
      </w:r>
      <w:r>
        <w:rPr>
          <w:rFonts w:hint="eastAsia"/>
        </w:rPr>
        <w:t>年</w:t>
      </w:r>
      <w:r>
        <w:rPr>
          <w:rFonts w:hint="eastAsia"/>
        </w:rPr>
        <w:t>FTA</w:t>
      </w:r>
      <w:r>
        <w:rPr>
          <w:rFonts w:hint="eastAsia"/>
        </w:rPr>
        <w:t>第</w:t>
      </w:r>
      <w:r>
        <w:rPr>
          <w:rFonts w:hint="eastAsia"/>
        </w:rPr>
        <w:t>83</w:t>
      </w:r>
      <w:r>
        <w:rPr>
          <w:rFonts w:hint="eastAsia"/>
        </w:rPr>
        <w:t>条；日本</w:t>
      </w:r>
      <w:r>
        <w:rPr>
          <w:rFonts w:hint="eastAsia"/>
        </w:rPr>
        <w:t>-</w:t>
      </w:r>
      <w:r>
        <w:rPr>
          <w:rFonts w:hint="eastAsia"/>
        </w:rPr>
        <w:t>马来西亚</w:t>
      </w:r>
      <w:r>
        <w:rPr>
          <w:rFonts w:hint="eastAsia"/>
        </w:rPr>
        <w:t>2005</w:t>
      </w:r>
      <w:r>
        <w:rPr>
          <w:rFonts w:hint="eastAsia"/>
        </w:rPr>
        <w:t>年</w:t>
      </w:r>
      <w:r>
        <w:rPr>
          <w:rFonts w:hint="eastAsia"/>
        </w:rPr>
        <w:t>FTA</w:t>
      </w:r>
      <w:r>
        <w:rPr>
          <w:rFonts w:hint="eastAsia"/>
        </w:rPr>
        <w:t>第</w:t>
      </w:r>
      <w:r>
        <w:rPr>
          <w:rFonts w:hint="eastAsia"/>
        </w:rPr>
        <w:t>10</w:t>
      </w:r>
      <w:r>
        <w:rPr>
          <w:rFonts w:hint="eastAsia"/>
        </w:rPr>
        <w:t>条；泰国</w:t>
      </w:r>
      <w:r>
        <w:rPr>
          <w:rFonts w:hint="eastAsia"/>
        </w:rPr>
        <w:t>-</w:t>
      </w:r>
      <w:r>
        <w:rPr>
          <w:rFonts w:hint="eastAsia"/>
        </w:rPr>
        <w:t>澳大利亚</w:t>
      </w:r>
      <w:r>
        <w:rPr>
          <w:rFonts w:hint="eastAsia"/>
        </w:rPr>
        <w:t>2005</w:t>
      </w:r>
      <w:r>
        <w:rPr>
          <w:rFonts w:hint="eastAsia"/>
        </w:rPr>
        <w:t>年</w:t>
      </w:r>
    </w:p>
    <w:p w:rsidR="00BE4F1E" w:rsidRDefault="0059564D" w:rsidP="00BE4F1E">
      <w:pPr>
        <w:pStyle w:val="a8"/>
        <w:spacing w:line="240" w:lineRule="exact"/>
        <w:ind w:left="180" w:hangingChars="100" w:hanging="180"/>
      </w:pPr>
      <w:r>
        <w:rPr>
          <w:rFonts w:hint="eastAsia"/>
        </w:rPr>
        <w:t>FTA</w:t>
      </w:r>
      <w:r>
        <w:rPr>
          <w:rFonts w:hint="eastAsia"/>
        </w:rPr>
        <w:t>第</w:t>
      </w:r>
      <w:r>
        <w:rPr>
          <w:rFonts w:hint="eastAsia"/>
        </w:rPr>
        <w:t>1601</w:t>
      </w:r>
      <w:r>
        <w:rPr>
          <w:rFonts w:hint="eastAsia"/>
        </w:rPr>
        <w:t>条；印度</w:t>
      </w:r>
      <w:r>
        <w:rPr>
          <w:rFonts w:hint="eastAsia"/>
        </w:rPr>
        <w:t>-</w:t>
      </w:r>
      <w:r>
        <w:rPr>
          <w:rFonts w:hint="eastAsia"/>
        </w:rPr>
        <w:t>韩国</w:t>
      </w:r>
      <w:r>
        <w:rPr>
          <w:rFonts w:hint="eastAsia"/>
        </w:rPr>
        <w:t>2009</w:t>
      </w:r>
      <w:r>
        <w:rPr>
          <w:rFonts w:hint="eastAsia"/>
        </w:rPr>
        <w:t>年</w:t>
      </w:r>
      <w:r>
        <w:rPr>
          <w:rFonts w:hint="eastAsia"/>
        </w:rPr>
        <w:t>FTA</w:t>
      </w:r>
      <w:r>
        <w:rPr>
          <w:rFonts w:hint="eastAsia"/>
        </w:rPr>
        <w:t>第</w:t>
      </w:r>
      <w:r>
        <w:rPr>
          <w:rFonts w:hint="eastAsia"/>
        </w:rPr>
        <w:t>10.18</w:t>
      </w:r>
      <w:r>
        <w:rPr>
          <w:rFonts w:hint="eastAsia"/>
        </w:rPr>
        <w:t>条；台湾</w:t>
      </w:r>
      <w:r>
        <w:rPr>
          <w:rFonts w:hint="eastAsia"/>
        </w:rPr>
        <w:t>-</w:t>
      </w:r>
      <w:r>
        <w:rPr>
          <w:rFonts w:hint="eastAsia"/>
        </w:rPr>
        <w:t>巴拿马</w:t>
      </w:r>
      <w:r>
        <w:rPr>
          <w:rFonts w:hint="eastAsia"/>
        </w:rPr>
        <w:t>2003</w:t>
      </w:r>
      <w:r>
        <w:rPr>
          <w:rFonts w:hint="eastAsia"/>
        </w:rPr>
        <w:t>年</w:t>
      </w:r>
      <w:r>
        <w:rPr>
          <w:rFonts w:hint="eastAsia"/>
        </w:rPr>
        <w:t>FTA</w:t>
      </w:r>
      <w:r>
        <w:rPr>
          <w:rFonts w:hint="eastAsia"/>
        </w:rPr>
        <w:t>第</w:t>
      </w:r>
      <w:r>
        <w:rPr>
          <w:rFonts w:hint="eastAsia"/>
        </w:rPr>
        <w:t>20.02</w:t>
      </w:r>
      <w:r>
        <w:rPr>
          <w:rFonts w:hint="eastAsia"/>
        </w:rPr>
        <w:t>条；新加坡</w:t>
      </w:r>
      <w:r>
        <w:rPr>
          <w:rFonts w:hint="eastAsia"/>
        </w:rPr>
        <w:t>-</w:t>
      </w:r>
      <w:r>
        <w:rPr>
          <w:rFonts w:hint="eastAsia"/>
        </w:rPr>
        <w:t>欧洲自由</w:t>
      </w:r>
    </w:p>
    <w:p w:rsidR="00BE4F1E" w:rsidRDefault="0059564D" w:rsidP="00BE4F1E">
      <w:pPr>
        <w:pStyle w:val="a8"/>
        <w:spacing w:line="240" w:lineRule="exact"/>
        <w:ind w:left="180" w:hangingChars="100" w:hanging="180"/>
      </w:pPr>
      <w:r>
        <w:rPr>
          <w:rFonts w:hint="eastAsia"/>
        </w:rPr>
        <w:t>贸易联盟</w:t>
      </w:r>
      <w:r>
        <w:rPr>
          <w:rFonts w:hint="eastAsia"/>
        </w:rPr>
        <w:t>2002</w:t>
      </w:r>
      <w:r>
        <w:rPr>
          <w:rFonts w:hint="eastAsia"/>
        </w:rPr>
        <w:t>年</w:t>
      </w:r>
      <w:r>
        <w:rPr>
          <w:rFonts w:hint="eastAsia"/>
        </w:rPr>
        <w:t>FTA</w:t>
      </w:r>
      <w:r>
        <w:rPr>
          <w:rFonts w:hint="eastAsia"/>
        </w:rPr>
        <w:t>第</w:t>
      </w:r>
      <w:r>
        <w:rPr>
          <w:rFonts w:hint="eastAsia"/>
        </w:rPr>
        <w:t>33</w:t>
      </w:r>
      <w:r>
        <w:rPr>
          <w:rFonts w:hint="eastAsia"/>
        </w:rPr>
        <w:t>条；新加坡</w:t>
      </w:r>
      <w:r>
        <w:rPr>
          <w:rFonts w:hint="eastAsia"/>
        </w:rPr>
        <w:t>-</w:t>
      </w:r>
      <w:r>
        <w:rPr>
          <w:rFonts w:hint="eastAsia"/>
        </w:rPr>
        <w:t>韩国</w:t>
      </w:r>
      <w:r>
        <w:rPr>
          <w:rFonts w:hint="eastAsia"/>
        </w:rPr>
        <w:t>2005</w:t>
      </w:r>
      <w:r>
        <w:rPr>
          <w:rFonts w:hint="eastAsia"/>
        </w:rPr>
        <w:t>年</w:t>
      </w:r>
      <w:r>
        <w:rPr>
          <w:rFonts w:hint="eastAsia"/>
        </w:rPr>
        <w:t>FTA</w:t>
      </w:r>
      <w:r>
        <w:rPr>
          <w:rFonts w:hint="eastAsia"/>
        </w:rPr>
        <w:t>第</w:t>
      </w:r>
      <w:r>
        <w:rPr>
          <w:rFonts w:hint="eastAsia"/>
        </w:rPr>
        <w:t>21.2</w:t>
      </w:r>
      <w:r>
        <w:rPr>
          <w:rFonts w:hint="eastAsia"/>
        </w:rPr>
        <w:t>条；东盟</w:t>
      </w:r>
      <w:r>
        <w:rPr>
          <w:rFonts w:hint="eastAsia"/>
        </w:rPr>
        <w:t>-</w:t>
      </w:r>
      <w:r>
        <w:rPr>
          <w:rFonts w:hint="eastAsia"/>
        </w:rPr>
        <w:t>澳大利亚</w:t>
      </w:r>
      <w:r>
        <w:rPr>
          <w:rFonts w:hint="eastAsia"/>
        </w:rPr>
        <w:t>-</w:t>
      </w:r>
      <w:r>
        <w:rPr>
          <w:rFonts w:hint="eastAsia"/>
        </w:rPr>
        <w:t>新西兰</w:t>
      </w:r>
      <w:r>
        <w:rPr>
          <w:rFonts w:hint="eastAsia"/>
        </w:rPr>
        <w:t>2009</w:t>
      </w:r>
      <w:r>
        <w:rPr>
          <w:rFonts w:hint="eastAsia"/>
        </w:rPr>
        <w:t>年</w:t>
      </w:r>
      <w:r>
        <w:rPr>
          <w:rFonts w:hint="eastAsia"/>
        </w:rPr>
        <w:t>FTA</w:t>
      </w:r>
      <w:r>
        <w:rPr>
          <w:rFonts w:hint="eastAsia"/>
        </w:rPr>
        <w:t>第</w:t>
      </w:r>
    </w:p>
    <w:p w:rsidR="00BE4F1E" w:rsidRDefault="0059564D" w:rsidP="00BE4F1E">
      <w:pPr>
        <w:pStyle w:val="a8"/>
        <w:spacing w:line="240" w:lineRule="exact"/>
        <w:ind w:left="180" w:hangingChars="100" w:hanging="180"/>
      </w:pPr>
      <w:r>
        <w:rPr>
          <w:rFonts w:hint="eastAsia"/>
        </w:rPr>
        <w:t>15</w:t>
      </w:r>
      <w:r>
        <w:rPr>
          <w:rFonts w:hint="eastAsia"/>
        </w:rPr>
        <w:t>章节第</w:t>
      </w:r>
      <w:r>
        <w:rPr>
          <w:rFonts w:hint="eastAsia"/>
        </w:rPr>
        <w:t>1-5</w:t>
      </w:r>
      <w:r>
        <w:rPr>
          <w:rFonts w:hint="eastAsia"/>
        </w:rPr>
        <w:t>条；中国</w:t>
      </w:r>
      <w:r>
        <w:rPr>
          <w:rFonts w:hint="eastAsia"/>
        </w:rPr>
        <w:t>-</w:t>
      </w:r>
      <w:r>
        <w:rPr>
          <w:rFonts w:hint="eastAsia"/>
        </w:rPr>
        <w:t>新西兰</w:t>
      </w:r>
      <w:r>
        <w:rPr>
          <w:rFonts w:hint="eastAsia"/>
        </w:rPr>
        <w:t>2008</w:t>
      </w:r>
      <w:r>
        <w:rPr>
          <w:rFonts w:hint="eastAsia"/>
        </w:rPr>
        <w:t>年</w:t>
      </w:r>
      <w:r>
        <w:rPr>
          <w:rFonts w:hint="eastAsia"/>
        </w:rPr>
        <w:t>FTA</w:t>
      </w:r>
      <w:r>
        <w:rPr>
          <w:rFonts w:hint="eastAsia"/>
        </w:rPr>
        <w:t>第</w:t>
      </w:r>
      <w:r>
        <w:rPr>
          <w:rFonts w:hint="eastAsia"/>
        </w:rPr>
        <w:t>200</w:t>
      </w:r>
      <w:r>
        <w:rPr>
          <w:rFonts w:hint="eastAsia"/>
        </w:rPr>
        <w:t>条；中国</w:t>
      </w:r>
      <w:r>
        <w:rPr>
          <w:rFonts w:hint="eastAsia"/>
        </w:rPr>
        <w:t>-</w:t>
      </w:r>
      <w:r>
        <w:rPr>
          <w:rFonts w:hint="eastAsia"/>
        </w:rPr>
        <w:t>东盟</w:t>
      </w:r>
      <w:r>
        <w:rPr>
          <w:rFonts w:hint="eastAsia"/>
        </w:rPr>
        <w:t>2009</w:t>
      </w:r>
      <w:r>
        <w:rPr>
          <w:rFonts w:hint="eastAsia"/>
        </w:rPr>
        <w:t>年</w:t>
      </w:r>
      <w:r>
        <w:rPr>
          <w:rFonts w:hint="eastAsia"/>
        </w:rPr>
        <w:t>FTA</w:t>
      </w:r>
      <w:r>
        <w:rPr>
          <w:rFonts w:hint="eastAsia"/>
        </w:rPr>
        <w:t>第</w:t>
      </w:r>
      <w:r>
        <w:rPr>
          <w:rFonts w:hint="eastAsia"/>
        </w:rPr>
        <w:t>16</w:t>
      </w:r>
      <w:r>
        <w:rPr>
          <w:rFonts w:hint="eastAsia"/>
        </w:rPr>
        <w:t>条；中国</w:t>
      </w:r>
      <w:r>
        <w:rPr>
          <w:rFonts w:hint="eastAsia"/>
        </w:rPr>
        <w:t>-</w:t>
      </w:r>
      <w:r>
        <w:rPr>
          <w:rFonts w:hint="eastAsia"/>
        </w:rPr>
        <w:t>加拿大</w:t>
      </w:r>
      <w:r>
        <w:rPr>
          <w:rFonts w:hint="eastAsia"/>
        </w:rPr>
        <w:t>2012</w:t>
      </w:r>
      <w:r>
        <w:rPr>
          <w:rFonts w:hint="eastAsia"/>
        </w:rPr>
        <w:t>年</w:t>
      </w:r>
    </w:p>
    <w:p w:rsidR="0059564D" w:rsidRDefault="0059564D" w:rsidP="00BE4F1E">
      <w:pPr>
        <w:pStyle w:val="a8"/>
        <w:spacing w:line="240" w:lineRule="exact"/>
        <w:ind w:left="180" w:hangingChars="100" w:hanging="180"/>
      </w:pPr>
      <w:r>
        <w:rPr>
          <w:rFonts w:hint="eastAsia"/>
        </w:rPr>
        <w:t>BIT</w:t>
      </w:r>
      <w:r>
        <w:rPr>
          <w:rFonts w:hint="eastAsia"/>
        </w:rPr>
        <w:t>第</w:t>
      </w:r>
      <w:r>
        <w:rPr>
          <w:rFonts w:hint="eastAsia"/>
        </w:rPr>
        <w:t>33</w:t>
      </w:r>
      <w:r>
        <w:rPr>
          <w:rFonts w:hint="eastAsia"/>
        </w:rPr>
        <w:t>条；中国</w:t>
      </w:r>
      <w:r>
        <w:rPr>
          <w:rFonts w:hint="eastAsia"/>
        </w:rPr>
        <w:t>-</w:t>
      </w:r>
      <w:r>
        <w:rPr>
          <w:rFonts w:hint="eastAsia"/>
        </w:rPr>
        <w:t>瑞士</w:t>
      </w:r>
      <w:r>
        <w:rPr>
          <w:rFonts w:hint="eastAsia"/>
        </w:rPr>
        <w:t>2014</w:t>
      </w:r>
      <w:r>
        <w:rPr>
          <w:rFonts w:hint="eastAsia"/>
        </w:rPr>
        <w:t>年</w:t>
      </w:r>
      <w:r>
        <w:rPr>
          <w:rFonts w:hint="eastAsia"/>
        </w:rPr>
        <w:t>FTA</w:t>
      </w:r>
      <w:r>
        <w:rPr>
          <w:rFonts w:hint="eastAsia"/>
        </w:rPr>
        <w:t>第</w:t>
      </w:r>
      <w:r>
        <w:rPr>
          <w:rFonts w:hint="eastAsia"/>
        </w:rPr>
        <w:t>8.15</w:t>
      </w:r>
      <w:r>
        <w:rPr>
          <w:rFonts w:hint="eastAsia"/>
        </w:rPr>
        <w:t>条等。</w:t>
      </w:r>
    </w:p>
  </w:footnote>
  <w:footnote w:id="10">
    <w:p w:rsidR="00BE4F1E" w:rsidRDefault="006777FA" w:rsidP="006777FA">
      <w:pPr>
        <w:pStyle w:val="a8"/>
        <w:spacing w:line="240" w:lineRule="exact"/>
        <w:ind w:left="180" w:hangingChars="100" w:hanging="180"/>
        <w:jc w:val="both"/>
      </w:pPr>
      <w:r>
        <w:rPr>
          <w:rStyle w:val="a7"/>
        </w:rPr>
        <w:footnoteRef/>
      </w:r>
      <w:r>
        <w:t xml:space="preserve"> </w:t>
      </w:r>
      <w:r>
        <w:rPr>
          <w:rFonts w:hint="eastAsia"/>
        </w:rPr>
        <w:t>在</w:t>
      </w:r>
      <w:r>
        <w:rPr>
          <w:rFonts w:hint="eastAsia"/>
        </w:rPr>
        <w:t>NAFTA</w:t>
      </w:r>
      <w:r>
        <w:rPr>
          <w:rFonts w:hint="eastAsia"/>
        </w:rPr>
        <w:t>项下，</w:t>
      </w:r>
      <w:r>
        <w:rPr>
          <w:rFonts w:hint="eastAsia"/>
        </w:rPr>
        <w:t>NAFTA</w:t>
      </w:r>
      <w:r>
        <w:rPr>
          <w:rFonts w:hint="eastAsia"/>
        </w:rPr>
        <w:t>委员会针对</w:t>
      </w:r>
      <w:r>
        <w:rPr>
          <w:rFonts w:hint="eastAsia"/>
        </w:rPr>
        <w:t>NAFTA</w:t>
      </w:r>
      <w:r>
        <w:rPr>
          <w:rFonts w:hint="eastAsia"/>
        </w:rPr>
        <w:t>成员国承担的义务问题专门发布了一个解释，参见</w:t>
      </w:r>
      <w:r>
        <w:t xml:space="preserve">Notes of </w:t>
      </w:r>
    </w:p>
    <w:p w:rsidR="00BE4F1E" w:rsidRDefault="00BE4F1E" w:rsidP="00BE4F1E">
      <w:pPr>
        <w:pStyle w:val="a8"/>
        <w:spacing w:line="240" w:lineRule="exact"/>
        <w:ind w:left="180" w:hangingChars="100" w:hanging="180"/>
        <w:jc w:val="both"/>
      </w:pPr>
      <w:r>
        <w:t xml:space="preserve">Interpretation of </w:t>
      </w:r>
      <w:r w:rsidR="006777FA">
        <w:t xml:space="preserve">Certain Chapter 11 Provisions, available at </w:t>
      </w:r>
      <w:hyperlink r:id="rId4" w:history="1">
        <w:r w:rsidR="006777FA">
          <w:rPr>
            <w:rStyle w:val="a6"/>
          </w:rPr>
          <w:t>http://www.iisd.org/pdf/2001/trade_nafta_aug2001.pdf</w:t>
        </w:r>
      </w:hyperlink>
      <w:r w:rsidR="006777FA">
        <w:t xml:space="preserve">, 31 </w:t>
      </w:r>
    </w:p>
    <w:p w:rsidR="006777FA" w:rsidRDefault="006777FA" w:rsidP="00BE4F1E">
      <w:pPr>
        <w:pStyle w:val="a8"/>
        <w:spacing w:line="240" w:lineRule="exact"/>
        <w:ind w:left="180" w:hangingChars="100" w:hanging="180"/>
        <w:jc w:val="both"/>
      </w:pPr>
      <w:r>
        <w:t>July 2001</w:t>
      </w:r>
      <w:r>
        <w:t>；阿根廷和巴拿马</w:t>
      </w:r>
      <w:r>
        <w:rPr>
          <w:rFonts w:hint="eastAsia"/>
        </w:rPr>
        <w:t>之</w:t>
      </w:r>
      <w:r>
        <w:t>间还专门交换了外交照会申明最惠国条款不适用于争端解决机</w:t>
      </w:r>
      <w:r>
        <w:rPr>
          <w:rFonts w:hint="eastAsia"/>
        </w:rPr>
        <w:t>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32B"/>
    <w:rsid w:val="001A1522"/>
    <w:rsid w:val="00424F6C"/>
    <w:rsid w:val="004B132B"/>
    <w:rsid w:val="0059564D"/>
    <w:rsid w:val="006777FA"/>
    <w:rsid w:val="0079418D"/>
    <w:rsid w:val="00A82A47"/>
    <w:rsid w:val="00B838AA"/>
    <w:rsid w:val="00BE4F1E"/>
    <w:rsid w:val="00DE3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FA"/>
    <w:pPr>
      <w:widowControl w:val="0"/>
      <w:spacing w:after="0" w:line="240" w:lineRule="auto"/>
      <w:jc w:val="both"/>
    </w:pPr>
    <w:rPr>
      <w:rFonts w:ascii="Times New Roman" w:eastAsia="宋体"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77FA"/>
    <w:pPr>
      <w:widowControl/>
      <w:tabs>
        <w:tab w:val="center" w:pos="4320"/>
        <w:tab w:val="right" w:pos="8640"/>
      </w:tabs>
      <w:jc w:val="left"/>
    </w:pPr>
    <w:rPr>
      <w:rFonts w:asciiTheme="minorHAnsi" w:eastAsiaTheme="minorEastAsia" w:hAnsiTheme="minorHAnsi" w:cstheme="minorBidi"/>
      <w:kern w:val="0"/>
      <w:sz w:val="22"/>
      <w:szCs w:val="22"/>
    </w:rPr>
  </w:style>
  <w:style w:type="character" w:customStyle="1" w:styleId="Char">
    <w:name w:val="页眉 Char"/>
    <w:basedOn w:val="a0"/>
    <w:link w:val="a3"/>
    <w:uiPriority w:val="99"/>
    <w:rsid w:val="006777FA"/>
  </w:style>
  <w:style w:type="paragraph" w:styleId="a4">
    <w:name w:val="footer"/>
    <w:basedOn w:val="a"/>
    <w:link w:val="Char0"/>
    <w:uiPriority w:val="99"/>
    <w:unhideWhenUsed/>
    <w:rsid w:val="006777FA"/>
    <w:pPr>
      <w:widowControl/>
      <w:tabs>
        <w:tab w:val="center" w:pos="4320"/>
        <w:tab w:val="right" w:pos="8640"/>
      </w:tabs>
      <w:jc w:val="left"/>
    </w:pPr>
    <w:rPr>
      <w:rFonts w:asciiTheme="minorHAnsi" w:eastAsiaTheme="minorEastAsia" w:hAnsiTheme="minorHAnsi" w:cstheme="minorBidi"/>
      <w:kern w:val="0"/>
      <w:sz w:val="22"/>
      <w:szCs w:val="22"/>
    </w:rPr>
  </w:style>
  <w:style w:type="character" w:customStyle="1" w:styleId="Char0">
    <w:name w:val="页脚 Char"/>
    <w:basedOn w:val="a0"/>
    <w:link w:val="a4"/>
    <w:uiPriority w:val="99"/>
    <w:rsid w:val="006777FA"/>
  </w:style>
  <w:style w:type="character" w:styleId="a5">
    <w:name w:val="FollowedHyperlink"/>
    <w:rsid w:val="006777FA"/>
    <w:rPr>
      <w:color w:val="800080"/>
      <w:u w:val="single"/>
    </w:rPr>
  </w:style>
  <w:style w:type="character" w:styleId="a6">
    <w:name w:val="Hyperlink"/>
    <w:rsid w:val="006777FA"/>
    <w:rPr>
      <w:color w:val="0000FF"/>
      <w:u w:val="single"/>
    </w:rPr>
  </w:style>
  <w:style w:type="character" w:styleId="a7">
    <w:name w:val="footnote reference"/>
    <w:rsid w:val="006777FA"/>
    <w:rPr>
      <w:vertAlign w:val="superscript"/>
    </w:rPr>
  </w:style>
  <w:style w:type="paragraph" w:styleId="a8">
    <w:name w:val="footnote text"/>
    <w:basedOn w:val="a"/>
    <w:link w:val="Char1"/>
    <w:rsid w:val="006777FA"/>
    <w:pPr>
      <w:snapToGrid w:val="0"/>
      <w:jc w:val="left"/>
    </w:pPr>
    <w:rPr>
      <w:sz w:val="18"/>
      <w:szCs w:val="18"/>
    </w:rPr>
  </w:style>
  <w:style w:type="character" w:customStyle="1" w:styleId="Char1">
    <w:name w:val="脚注文本 Char"/>
    <w:basedOn w:val="a0"/>
    <w:link w:val="a8"/>
    <w:rsid w:val="006777FA"/>
    <w:rPr>
      <w:rFonts w:ascii="Times New Roman" w:eastAsia="宋体" w:hAnsi="Times New Roman" w:cs="Times New Roman"/>
      <w:kern w:val="2"/>
      <w:sz w:val="18"/>
      <w:szCs w:val="18"/>
    </w:rPr>
  </w:style>
  <w:style w:type="paragraph" w:customStyle="1" w:styleId="Default">
    <w:name w:val="Default"/>
    <w:rsid w:val="006777FA"/>
    <w:pPr>
      <w:widowControl w:val="0"/>
      <w:autoSpaceDE w:val="0"/>
      <w:autoSpaceDN w:val="0"/>
      <w:adjustRightInd w:val="0"/>
      <w:spacing w:after="0" w:line="240" w:lineRule="auto"/>
    </w:pPr>
    <w:rPr>
      <w:rFonts w:ascii="宋体" w:eastAsia="宋体" w:hAnsi="Calibri" w:cs="宋体"/>
      <w:color w:val="000000"/>
      <w:sz w:val="24"/>
      <w:szCs w:val="24"/>
    </w:rPr>
  </w:style>
  <w:style w:type="character" w:customStyle="1" w:styleId="apple-converted-space">
    <w:name w:val="apple-converted-space"/>
    <w:rsid w:val="00A82A47"/>
  </w:style>
  <w:style w:type="character" w:styleId="a9">
    <w:name w:val="Emphasis"/>
    <w:uiPriority w:val="20"/>
    <w:qFormat/>
    <w:rsid w:val="00A82A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FA"/>
    <w:pPr>
      <w:widowControl w:val="0"/>
      <w:spacing w:after="0" w:line="240" w:lineRule="auto"/>
      <w:jc w:val="both"/>
    </w:pPr>
    <w:rPr>
      <w:rFonts w:ascii="Times New Roman" w:eastAsia="宋体"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77FA"/>
    <w:pPr>
      <w:widowControl/>
      <w:tabs>
        <w:tab w:val="center" w:pos="4320"/>
        <w:tab w:val="right" w:pos="8640"/>
      </w:tabs>
      <w:jc w:val="left"/>
    </w:pPr>
    <w:rPr>
      <w:rFonts w:asciiTheme="minorHAnsi" w:eastAsiaTheme="minorEastAsia" w:hAnsiTheme="minorHAnsi" w:cstheme="minorBidi"/>
      <w:kern w:val="0"/>
      <w:sz w:val="22"/>
      <w:szCs w:val="22"/>
    </w:rPr>
  </w:style>
  <w:style w:type="character" w:customStyle="1" w:styleId="Char">
    <w:name w:val="页眉 Char"/>
    <w:basedOn w:val="a0"/>
    <w:link w:val="a3"/>
    <w:uiPriority w:val="99"/>
    <w:rsid w:val="006777FA"/>
  </w:style>
  <w:style w:type="paragraph" w:styleId="a4">
    <w:name w:val="footer"/>
    <w:basedOn w:val="a"/>
    <w:link w:val="Char0"/>
    <w:uiPriority w:val="99"/>
    <w:unhideWhenUsed/>
    <w:rsid w:val="006777FA"/>
    <w:pPr>
      <w:widowControl/>
      <w:tabs>
        <w:tab w:val="center" w:pos="4320"/>
        <w:tab w:val="right" w:pos="8640"/>
      </w:tabs>
      <w:jc w:val="left"/>
    </w:pPr>
    <w:rPr>
      <w:rFonts w:asciiTheme="minorHAnsi" w:eastAsiaTheme="minorEastAsia" w:hAnsiTheme="minorHAnsi" w:cstheme="minorBidi"/>
      <w:kern w:val="0"/>
      <w:sz w:val="22"/>
      <w:szCs w:val="22"/>
    </w:rPr>
  </w:style>
  <w:style w:type="character" w:customStyle="1" w:styleId="Char0">
    <w:name w:val="页脚 Char"/>
    <w:basedOn w:val="a0"/>
    <w:link w:val="a4"/>
    <w:uiPriority w:val="99"/>
    <w:rsid w:val="006777FA"/>
  </w:style>
  <w:style w:type="character" w:styleId="a5">
    <w:name w:val="FollowedHyperlink"/>
    <w:rsid w:val="006777FA"/>
    <w:rPr>
      <w:color w:val="800080"/>
      <w:u w:val="single"/>
    </w:rPr>
  </w:style>
  <w:style w:type="character" w:styleId="a6">
    <w:name w:val="Hyperlink"/>
    <w:rsid w:val="006777FA"/>
    <w:rPr>
      <w:color w:val="0000FF"/>
      <w:u w:val="single"/>
    </w:rPr>
  </w:style>
  <w:style w:type="character" w:styleId="a7">
    <w:name w:val="footnote reference"/>
    <w:rsid w:val="006777FA"/>
    <w:rPr>
      <w:vertAlign w:val="superscript"/>
    </w:rPr>
  </w:style>
  <w:style w:type="paragraph" w:styleId="a8">
    <w:name w:val="footnote text"/>
    <w:basedOn w:val="a"/>
    <w:link w:val="Char1"/>
    <w:rsid w:val="006777FA"/>
    <w:pPr>
      <w:snapToGrid w:val="0"/>
      <w:jc w:val="left"/>
    </w:pPr>
    <w:rPr>
      <w:sz w:val="18"/>
      <w:szCs w:val="18"/>
    </w:rPr>
  </w:style>
  <w:style w:type="character" w:customStyle="1" w:styleId="Char1">
    <w:name w:val="脚注文本 Char"/>
    <w:basedOn w:val="a0"/>
    <w:link w:val="a8"/>
    <w:rsid w:val="006777FA"/>
    <w:rPr>
      <w:rFonts w:ascii="Times New Roman" w:eastAsia="宋体" w:hAnsi="Times New Roman" w:cs="Times New Roman"/>
      <w:kern w:val="2"/>
      <w:sz w:val="18"/>
      <w:szCs w:val="18"/>
    </w:rPr>
  </w:style>
  <w:style w:type="paragraph" w:customStyle="1" w:styleId="Default">
    <w:name w:val="Default"/>
    <w:rsid w:val="006777FA"/>
    <w:pPr>
      <w:widowControl w:val="0"/>
      <w:autoSpaceDE w:val="0"/>
      <w:autoSpaceDN w:val="0"/>
      <w:adjustRightInd w:val="0"/>
      <w:spacing w:after="0" w:line="240" w:lineRule="auto"/>
    </w:pPr>
    <w:rPr>
      <w:rFonts w:ascii="宋体" w:eastAsia="宋体" w:hAnsi="Calibri" w:cs="宋体"/>
      <w:color w:val="000000"/>
      <w:sz w:val="24"/>
      <w:szCs w:val="24"/>
    </w:rPr>
  </w:style>
  <w:style w:type="character" w:customStyle="1" w:styleId="apple-converted-space">
    <w:name w:val="apple-converted-space"/>
    <w:rsid w:val="00A82A47"/>
  </w:style>
  <w:style w:type="character" w:styleId="a9">
    <w:name w:val="Emphasis"/>
    <w:uiPriority w:val="20"/>
    <w:qFormat/>
    <w:rsid w:val="00A82A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iisd.org/pdf/2007/inv_agreements_reg_state.pdf" TargetMode="External"/><Relationship Id="rId2" Type="http://schemas.openxmlformats.org/officeDocument/2006/relationships/hyperlink" Target="http://www.osgoode.yorku.ca/public_statement." TargetMode="External"/><Relationship Id="rId1" Type="http://schemas.openxmlformats.org/officeDocument/2006/relationships/hyperlink" Target="http://www2.ohchr.org/english/bodies/hrcouncil/docs/11session/A.HRC.11.13.pdf" TargetMode="External"/><Relationship Id="rId4" Type="http://schemas.openxmlformats.org/officeDocument/2006/relationships/hyperlink" Target="http://www.iisd.org/pdf/2001/trade_nafta_aug200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389</Words>
  <Characters>2220</Characters>
  <Application>Microsoft Office Word</Application>
  <DocSecurity>0</DocSecurity>
  <Lines>18</Lines>
  <Paragraphs>5</Paragraphs>
  <ScaleCrop>false</ScaleCrop>
  <Company>微软中国</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2014-10-24T02:43:00Z</dcterms:created>
  <dcterms:modified xsi:type="dcterms:W3CDTF">2014-10-24T08:36:00Z</dcterms:modified>
</cp:coreProperties>
</file>